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573EBC99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Experiential Leadership Academy</w:t>
      </w:r>
    </w:p>
    <w:p w14:paraId="02B64539" w14:textId="24B36F94" w:rsidR="000677DC" w:rsidRDefault="0060416E" w:rsidP="00A62721">
      <w:pPr>
        <w:pStyle w:val="Heading1"/>
        <w:spacing w:line="240" w:lineRule="auto"/>
        <w:jc w:val="center"/>
      </w:pPr>
      <w:r>
        <w:t>Leadership 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3D222504" w:rsidR="0060416E" w:rsidRPr="0044336C" w:rsidRDefault="00E26D72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9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Pr="001921E7" w:rsidRDefault="0060416E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t>Title</w:t>
            </w:r>
            <w:r w:rsidR="00B05497" w:rsidRPr="001921E7">
              <w:rPr>
                <w:b/>
                <w:bCs/>
              </w:rPr>
              <w:t xml:space="preserve"> of Opportunity</w:t>
            </w:r>
          </w:p>
          <w:p w14:paraId="0B70EB9C" w14:textId="5B3CEDB8" w:rsidR="0044336C" w:rsidRPr="001921E7" w:rsidRDefault="00587CB9" w:rsidP="000677DC">
            <w:r w:rsidRPr="001921E7">
              <w:t>Tissue Viability – Communi</w:t>
            </w:r>
            <w:r w:rsidR="0077624B">
              <w:t>ty or Acute</w:t>
            </w:r>
          </w:p>
          <w:p w14:paraId="15081B7F" w14:textId="07B4A33D" w:rsidR="00B05497" w:rsidRPr="001921E7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Pr="001921E7" w:rsidRDefault="0060416E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t>Location</w:t>
            </w:r>
          </w:p>
          <w:p w14:paraId="666D0A1B" w14:textId="48AB66F5" w:rsidR="0060416E" w:rsidRPr="001921E7" w:rsidRDefault="00587CB9" w:rsidP="000677DC">
            <w:r w:rsidRPr="001921E7">
              <w:t>Pan Lothian Community</w:t>
            </w:r>
            <w:r w:rsidR="0077624B">
              <w:t xml:space="preserve"> or Acute services</w:t>
            </w:r>
          </w:p>
          <w:p w14:paraId="4648C626" w14:textId="2049E63A" w:rsidR="00B05497" w:rsidRPr="001921E7" w:rsidRDefault="00B05497" w:rsidP="000677DC">
            <w:pPr>
              <w:rPr>
                <w:b/>
                <w:bCs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Pr="001921E7" w:rsidRDefault="0060416E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t xml:space="preserve">Lead Contact </w:t>
            </w:r>
            <w:r w:rsidR="00B05497" w:rsidRPr="001921E7">
              <w:rPr>
                <w:b/>
                <w:bCs/>
              </w:rPr>
              <w:t>of person offering opportunity</w:t>
            </w:r>
            <w:r w:rsidRPr="001921E7">
              <w:rPr>
                <w:b/>
                <w:bCs/>
              </w:rPr>
              <w:t xml:space="preserve">    </w:t>
            </w:r>
          </w:p>
          <w:p w14:paraId="493589C4" w14:textId="77777777" w:rsidR="0077624B" w:rsidRDefault="0077624B" w:rsidP="000677DC">
            <w:r>
              <w:t xml:space="preserve">Community: </w:t>
            </w:r>
          </w:p>
          <w:p w14:paraId="0CF06DCB" w14:textId="055337BA" w:rsidR="00587CB9" w:rsidRDefault="0077624B" w:rsidP="000677DC">
            <w:r>
              <w:t xml:space="preserve">All areas - </w:t>
            </w:r>
            <w:r w:rsidR="00587CB9" w:rsidRPr="001921E7">
              <w:t>Lynsay War</w:t>
            </w:r>
            <w:r>
              <w:t xml:space="preserve">d or </w:t>
            </w:r>
            <w:r w:rsidR="00587CB9" w:rsidRPr="001921E7">
              <w:t>Eleanor Wakenshaw</w:t>
            </w:r>
          </w:p>
          <w:p w14:paraId="27C29AAF" w14:textId="77777777" w:rsidR="0077624B" w:rsidRDefault="0077624B" w:rsidP="000677DC"/>
          <w:p w14:paraId="53B6A9E5" w14:textId="77777777" w:rsidR="0077624B" w:rsidRDefault="0077624B" w:rsidP="000677DC">
            <w:r>
              <w:t>Acute:</w:t>
            </w:r>
          </w:p>
          <w:p w14:paraId="3CEE23DC" w14:textId="53C1CA18" w:rsidR="0077624B" w:rsidRDefault="0077624B" w:rsidP="000677DC">
            <w:r>
              <w:t>St Johns - Jacqui Currie/Katharine Rolland</w:t>
            </w:r>
          </w:p>
          <w:p w14:paraId="6D4B585E" w14:textId="5AB27E7D" w:rsidR="0077624B" w:rsidRDefault="0077624B" w:rsidP="000677DC">
            <w:r>
              <w:t>RIE – Luke Scott/Erin Wilson</w:t>
            </w:r>
          </w:p>
          <w:p w14:paraId="2400E1A0" w14:textId="4712A017" w:rsidR="0077624B" w:rsidRPr="001921E7" w:rsidRDefault="0077624B" w:rsidP="000677DC">
            <w:r>
              <w:t>WGH – Laura Stirling</w:t>
            </w:r>
          </w:p>
          <w:p w14:paraId="720018C2" w14:textId="31334BBC" w:rsidR="00B05497" w:rsidRPr="001921E7" w:rsidRDefault="0060416E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t xml:space="preserve">                                                                              </w:t>
            </w:r>
          </w:p>
          <w:p w14:paraId="227B8902" w14:textId="248D135E" w:rsidR="0060416E" w:rsidRPr="001921E7" w:rsidRDefault="0060416E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t>Email</w:t>
            </w:r>
            <w:r w:rsidR="0077624B">
              <w:rPr>
                <w:b/>
                <w:bCs/>
              </w:rPr>
              <w:t>:</w:t>
            </w:r>
          </w:p>
          <w:p w14:paraId="6F2C7FC6" w14:textId="77777777" w:rsidR="0060416E" w:rsidRDefault="0077624B" w:rsidP="0077624B">
            <w:hyperlink r:id="rId8" w:history="1">
              <w:r w:rsidRPr="001921E7">
                <w:rPr>
                  <w:rStyle w:val="Hyperlink"/>
                  <w:color w:val="auto"/>
                </w:rPr>
                <w:t>loth.tvsstudydays@nhs.scot</w:t>
              </w:r>
            </w:hyperlink>
          </w:p>
          <w:p w14:paraId="2873CACE" w14:textId="0E3BC995" w:rsidR="0077624B" w:rsidRPr="001921E7" w:rsidRDefault="0077624B" w:rsidP="0077624B">
            <w:pPr>
              <w:rPr>
                <w:b/>
                <w:bCs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Pr="001921E7" w:rsidRDefault="0060416E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t>Duration</w:t>
            </w:r>
          </w:p>
          <w:p w14:paraId="7B756424" w14:textId="1ABD2FF5" w:rsidR="00B05497" w:rsidRPr="001921E7" w:rsidRDefault="00587CB9" w:rsidP="000677DC">
            <w:r w:rsidRPr="001921E7">
              <w:t>2 Hours to Full Day</w:t>
            </w:r>
          </w:p>
          <w:p w14:paraId="5EA3697C" w14:textId="3D4CDE56" w:rsidR="0060416E" w:rsidRPr="001921E7" w:rsidRDefault="0060416E" w:rsidP="000677DC">
            <w:pPr>
              <w:rPr>
                <w:b/>
                <w:bCs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Pr="001921E7" w:rsidRDefault="0060416E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t xml:space="preserve">Description of Opportunity </w:t>
            </w:r>
          </w:p>
          <w:p w14:paraId="1F83B01A" w14:textId="0919EA2D" w:rsidR="00587CB9" w:rsidRPr="001921E7" w:rsidRDefault="00587CB9" w:rsidP="00587CB9">
            <w:r w:rsidRPr="001921E7">
              <w:t xml:space="preserve">The Tissue Viability Team offers structured shadowing and learning opportunities for </w:t>
            </w:r>
            <w:r w:rsidR="005D42E8">
              <w:t>members of staff under the nursing and midwifery umbrella</w:t>
            </w:r>
            <w:r w:rsidRPr="001921E7">
              <w:t xml:space="preserve"> to develop knowledge and skills in the assessment and management of complex wounds.</w:t>
            </w:r>
          </w:p>
          <w:p w14:paraId="1A07A852" w14:textId="77777777" w:rsidR="00587CB9" w:rsidRPr="001921E7" w:rsidRDefault="00587CB9" w:rsidP="00587CB9"/>
          <w:p w14:paraId="130F7BB0" w14:textId="0A0F46A8" w:rsidR="00D32B28" w:rsidRDefault="00587CB9" w:rsidP="000677DC">
            <w:r w:rsidRPr="001921E7">
              <w:t xml:space="preserve">Participants will have the opportunity to work alongside experienced Tissue Viability </w:t>
            </w:r>
            <w:r w:rsidR="001921E7" w:rsidRPr="001921E7">
              <w:t>Nurses</w:t>
            </w:r>
            <w:r w:rsidRPr="001921E7">
              <w:t xml:space="preserve"> in </w:t>
            </w:r>
            <w:r w:rsidR="0077624B">
              <w:t xml:space="preserve">different </w:t>
            </w:r>
            <w:r w:rsidRPr="001921E7">
              <w:t xml:space="preserve">settings, </w:t>
            </w:r>
            <w:proofErr w:type="gramStart"/>
            <w:r w:rsidR="001921E7" w:rsidRPr="001921E7">
              <w:t>including:</w:t>
            </w:r>
            <w:proofErr w:type="gramEnd"/>
            <w:r w:rsidRPr="001921E7">
              <w:t xml:space="preserve"> p</w:t>
            </w:r>
            <w:r w:rsidR="005D42E8">
              <w:t>eople</w:t>
            </w:r>
            <w:r w:rsidRPr="001921E7">
              <w:t>s’ homes, community clinics, care homes,</w:t>
            </w:r>
            <w:r w:rsidR="0077624B">
              <w:t xml:space="preserve"> </w:t>
            </w:r>
            <w:r w:rsidRPr="001921E7">
              <w:t>community hospitals</w:t>
            </w:r>
            <w:r w:rsidR="0077624B">
              <w:t xml:space="preserve"> </w:t>
            </w:r>
            <w:r w:rsidR="00E26D72">
              <w:t>and acute</w:t>
            </w:r>
            <w:r w:rsidR="0077624B">
              <w:t xml:space="preserve"> hospitals</w:t>
            </w:r>
            <w:r w:rsidRPr="001921E7">
              <w:t>. The experience focuses on holistic patient assessment, evidence-based wound care, pressure ulcer prevention, and multidisciplinary collaboration.</w:t>
            </w:r>
          </w:p>
          <w:p w14:paraId="7DFDF110" w14:textId="77777777" w:rsidR="00CF2E02" w:rsidRDefault="00CF2E02" w:rsidP="000677DC"/>
          <w:p w14:paraId="703B050F" w14:textId="381FF241" w:rsidR="00CF2E02" w:rsidRPr="001921E7" w:rsidRDefault="00CF2E02" w:rsidP="000677DC">
            <w:r>
              <w:t xml:space="preserve">The Tissue Viability Team also provides ad hoc bedside teaching and short educational sessions, in addition to our formal planned training programme available to book via </w:t>
            </w:r>
            <w:proofErr w:type="spellStart"/>
            <w:r w:rsidR="00B52E5E">
              <w:t>eESS</w:t>
            </w:r>
            <w:proofErr w:type="spellEnd"/>
            <w:r>
              <w:t xml:space="preserve">. Where ad hoc teaching takes place during a learning experience day, those shadowing will also </w:t>
            </w:r>
            <w:proofErr w:type="gramStart"/>
            <w:r>
              <w:t>have the opportunity to</w:t>
            </w:r>
            <w:proofErr w:type="gramEnd"/>
            <w:r>
              <w:t xml:space="preserve"> take part in and benefit from this learning experience.  </w:t>
            </w:r>
          </w:p>
          <w:p w14:paraId="0CDAA1F1" w14:textId="17A9FC51" w:rsidR="00D32B28" w:rsidRPr="001921E7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Pr="001921E7" w:rsidRDefault="0060416E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t>Opportunities for candidate</w:t>
            </w:r>
          </w:p>
          <w:p w14:paraId="5957985B" w14:textId="09FBAAB9" w:rsidR="00587CB9" w:rsidRPr="001921E7" w:rsidRDefault="00587CB9" w:rsidP="00587CB9">
            <w:pPr>
              <w:pStyle w:val="ListParagraph"/>
              <w:numPr>
                <w:ilvl w:val="0"/>
                <w:numId w:val="3"/>
              </w:numPr>
            </w:pPr>
            <w:r w:rsidRPr="001921E7">
              <w:t>Shadow Tissue Viability team during assessments and wound reviews</w:t>
            </w:r>
          </w:p>
          <w:p w14:paraId="2CC16898" w14:textId="77777777" w:rsidR="00587CB9" w:rsidRPr="001921E7" w:rsidRDefault="00587CB9" w:rsidP="00587CB9">
            <w:pPr>
              <w:pStyle w:val="ListParagraph"/>
              <w:numPr>
                <w:ilvl w:val="0"/>
                <w:numId w:val="3"/>
              </w:numPr>
            </w:pPr>
            <w:r w:rsidRPr="001921E7">
              <w:t>Observe and participate (where appropriate) in wound care planning and dressing selection</w:t>
            </w:r>
          </w:p>
          <w:p w14:paraId="52744990" w14:textId="731ED728" w:rsidR="00587CB9" w:rsidRPr="001921E7" w:rsidRDefault="00587CB9" w:rsidP="00587CB9">
            <w:pPr>
              <w:pStyle w:val="ListParagraph"/>
              <w:numPr>
                <w:ilvl w:val="0"/>
                <w:numId w:val="3"/>
              </w:numPr>
            </w:pPr>
            <w:r w:rsidRPr="001921E7">
              <w:lastRenderedPageBreak/>
              <w:t>Gain insight into pressure ulcer risk assessment and prevention strategies</w:t>
            </w:r>
            <w:r w:rsidR="001921E7" w:rsidRPr="001921E7">
              <w:t xml:space="preserve"> and the complexities of managing these</w:t>
            </w:r>
          </w:p>
          <w:p w14:paraId="07E98F7F" w14:textId="77777777" w:rsidR="00587CB9" w:rsidRPr="001921E7" w:rsidRDefault="00587CB9" w:rsidP="00587CB9">
            <w:pPr>
              <w:pStyle w:val="ListParagraph"/>
              <w:numPr>
                <w:ilvl w:val="0"/>
                <w:numId w:val="3"/>
              </w:numPr>
            </w:pPr>
            <w:r w:rsidRPr="001921E7">
              <w:t>Develop understanding of complex wound types (e.g. leg ulcers, pressure ulcers, surgical wounds)</w:t>
            </w:r>
          </w:p>
          <w:p w14:paraId="42AC02ED" w14:textId="45F73F11" w:rsidR="00587CB9" w:rsidRPr="001921E7" w:rsidRDefault="00587CB9" w:rsidP="00587CB9">
            <w:pPr>
              <w:pStyle w:val="ListParagraph"/>
              <w:numPr>
                <w:ilvl w:val="0"/>
                <w:numId w:val="3"/>
              </w:numPr>
            </w:pPr>
            <w:r w:rsidRPr="001921E7">
              <w:t>Engage in multidisciplinary working</w:t>
            </w:r>
          </w:p>
          <w:p w14:paraId="43C32921" w14:textId="5223AFE3" w:rsidR="00587CB9" w:rsidRPr="001921E7" w:rsidRDefault="00587CB9" w:rsidP="00587CB9">
            <w:pPr>
              <w:pStyle w:val="ListParagraph"/>
              <w:numPr>
                <w:ilvl w:val="0"/>
                <w:numId w:val="3"/>
              </w:numPr>
            </w:pPr>
            <w:r w:rsidRPr="001921E7">
              <w:t>Learn about education, self-management, and health promotion strategies</w:t>
            </w:r>
          </w:p>
          <w:p w14:paraId="63C23781" w14:textId="77777777" w:rsidR="00587CB9" w:rsidRDefault="00587CB9" w:rsidP="000677DC">
            <w:pPr>
              <w:pStyle w:val="ListParagraph"/>
              <w:numPr>
                <w:ilvl w:val="0"/>
                <w:numId w:val="3"/>
              </w:numPr>
            </w:pPr>
            <w:r w:rsidRPr="001921E7">
              <w:t>Exposure to documentation standards and clinical decision-making processes</w:t>
            </w:r>
          </w:p>
          <w:p w14:paraId="5D60312B" w14:textId="5F16E332" w:rsidR="00E26D72" w:rsidRPr="00E26D72" w:rsidRDefault="00E26D72" w:rsidP="00E26D72">
            <w:pPr>
              <w:ind w:left="360"/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Pr="001921E7" w:rsidRDefault="00B05497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lastRenderedPageBreak/>
              <w:t>Expected Learning / Outcomes</w:t>
            </w:r>
          </w:p>
          <w:p w14:paraId="32993330" w14:textId="2E7D72E1" w:rsidR="00587CB9" w:rsidRPr="001921E7" w:rsidRDefault="00587CB9" w:rsidP="00587CB9">
            <w:pPr>
              <w:pStyle w:val="ListParagraph"/>
              <w:numPr>
                <w:ilvl w:val="0"/>
                <w:numId w:val="2"/>
              </w:numPr>
            </w:pPr>
            <w:r w:rsidRPr="001921E7">
              <w:t>Increase confidence in identifying and managing wounds by observing or supporting in the assessment of p</w:t>
            </w:r>
            <w:r w:rsidR="005D42E8">
              <w:t>eople</w:t>
            </w:r>
            <w:r w:rsidRPr="001921E7">
              <w:t xml:space="preserve"> with wounds and discussing management plans with a supervising clinician during the </w:t>
            </w:r>
            <w:r w:rsidR="005D42E8">
              <w:t>experience</w:t>
            </w:r>
            <w:r w:rsidRPr="001921E7">
              <w:t>.</w:t>
            </w:r>
          </w:p>
          <w:p w14:paraId="4CAF6270" w14:textId="6FC8771A" w:rsidR="00587CB9" w:rsidRPr="001921E7" w:rsidRDefault="00587CB9" w:rsidP="00587CB9">
            <w:pPr>
              <w:pStyle w:val="ListParagraph"/>
              <w:numPr>
                <w:ilvl w:val="0"/>
                <w:numId w:val="2"/>
              </w:numPr>
            </w:pPr>
            <w:r w:rsidRPr="001921E7">
              <w:t>Apply evidence-based practice in tissue viability by identifying and discussing at least one relevant guideline (e.g. local or national) and how it informs clinical decision-making by the end of the experience.</w:t>
            </w:r>
          </w:p>
          <w:p w14:paraId="2CA25A53" w14:textId="0BD1D62B" w:rsidR="00587CB9" w:rsidRPr="001921E7" w:rsidRDefault="00587CB9" w:rsidP="00587CB9">
            <w:pPr>
              <w:pStyle w:val="ListParagraph"/>
              <w:numPr>
                <w:ilvl w:val="0"/>
                <w:numId w:val="2"/>
              </w:numPr>
            </w:pPr>
            <w:r w:rsidRPr="001921E7">
              <w:t xml:space="preserve">Demonstrate awareness of pressure ulcer prevention and management by explaining appropriate preventative interventions before the end of the </w:t>
            </w:r>
            <w:r w:rsidR="0035561D">
              <w:t>experience</w:t>
            </w:r>
            <w:r w:rsidRPr="001921E7">
              <w:t>.</w:t>
            </w:r>
          </w:p>
          <w:p w14:paraId="40AD61C2" w14:textId="6C2053A5" w:rsidR="00587CB9" w:rsidRPr="001921E7" w:rsidRDefault="00587CB9" w:rsidP="001921E7">
            <w:pPr>
              <w:pStyle w:val="ListParagraph"/>
              <w:numPr>
                <w:ilvl w:val="0"/>
                <w:numId w:val="2"/>
              </w:numPr>
            </w:pPr>
            <w:r w:rsidRPr="001921E7">
              <w:t>Develop holistic, p</w:t>
            </w:r>
            <w:r w:rsidR="005D42E8">
              <w:t>erson</w:t>
            </w:r>
            <w:r w:rsidRPr="001921E7">
              <w:t>-centred care approaches by contributing to the care planning of at least one p</w:t>
            </w:r>
            <w:r w:rsidR="005D42E8">
              <w:t>erson</w:t>
            </w:r>
            <w:r w:rsidRPr="001921E7">
              <w:t>, considering physical, psychological, and social factors during the shadowing period.</w:t>
            </w:r>
          </w:p>
          <w:p w14:paraId="59D4DD33" w14:textId="72A8A9AF" w:rsidR="00587CB9" w:rsidRPr="001921E7" w:rsidRDefault="00587CB9" w:rsidP="001921E7">
            <w:pPr>
              <w:pStyle w:val="ListParagraph"/>
              <w:numPr>
                <w:ilvl w:val="0"/>
                <w:numId w:val="2"/>
              </w:numPr>
            </w:pPr>
            <w:r w:rsidRPr="001921E7">
              <w:t xml:space="preserve">Describe the role of the Tissue Viability Team by outlining at least three key functions of the team and how they support multidisciplinary care by the end of the </w:t>
            </w:r>
            <w:r w:rsidR="005D42E8">
              <w:t>experience</w:t>
            </w:r>
            <w:r w:rsidRPr="001921E7">
              <w:t>.</w:t>
            </w:r>
          </w:p>
          <w:p w14:paraId="1D187A78" w14:textId="38601CDD" w:rsidR="00B05497" w:rsidRPr="001921E7" w:rsidRDefault="00587CB9" w:rsidP="00587CB9">
            <w:pPr>
              <w:pStyle w:val="ListParagraph"/>
              <w:numPr>
                <w:ilvl w:val="0"/>
                <w:numId w:val="2"/>
              </w:numPr>
            </w:pPr>
            <w:r w:rsidRPr="001921E7">
              <w:t xml:space="preserve">Reflect on learning and apply knowledge to clinical practice by completing at least one written reflective account and identifying two actions to implement in future practice </w:t>
            </w:r>
            <w:r w:rsidR="001921E7" w:rsidRPr="001921E7">
              <w:t>following</w:t>
            </w:r>
            <w:r w:rsidRPr="001921E7">
              <w:t xml:space="preserve"> completi</w:t>
            </w:r>
            <w:r w:rsidR="001921E7" w:rsidRPr="001921E7">
              <w:t>on of</w:t>
            </w:r>
            <w:r w:rsidRPr="001921E7">
              <w:t xml:space="preserve"> the </w:t>
            </w:r>
            <w:r w:rsidR="005D42E8">
              <w:t>experience</w:t>
            </w:r>
            <w:r w:rsidRPr="001921E7">
              <w:t>.</w:t>
            </w:r>
          </w:p>
          <w:p w14:paraId="36431007" w14:textId="6FD5D158" w:rsidR="00B05497" w:rsidRPr="001921E7" w:rsidRDefault="00B05497" w:rsidP="000677DC">
            <w:pPr>
              <w:rPr>
                <w:b/>
                <w:bCs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Pr="001921E7" w:rsidRDefault="003E043A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t>Target Group</w:t>
            </w:r>
          </w:p>
          <w:p w14:paraId="04FCA51D" w14:textId="5A0F6805" w:rsidR="003E043A" w:rsidRPr="001921E7" w:rsidRDefault="005D42E8" w:rsidP="000677DC">
            <w:r>
              <w:t>Anyone under the nursing and midwifery umbrella including, RN, Midwi</w:t>
            </w:r>
            <w:r w:rsidR="00E26D72">
              <w:t>v</w:t>
            </w:r>
            <w:r>
              <w:t>es, CSWs etc</w:t>
            </w:r>
          </w:p>
          <w:p w14:paraId="745F3C9F" w14:textId="065ABBC2" w:rsidR="003E043A" w:rsidRPr="001921E7" w:rsidRDefault="003E043A" w:rsidP="000677DC">
            <w:pPr>
              <w:rPr>
                <w:b/>
                <w:bCs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Pr="001921E7" w:rsidRDefault="0060416E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t>Dates available</w:t>
            </w:r>
          </w:p>
          <w:p w14:paraId="314120B0" w14:textId="12F7AAA7" w:rsidR="00D32B28" w:rsidRPr="001921E7" w:rsidRDefault="001921E7" w:rsidP="001921E7">
            <w:r w:rsidRPr="001921E7">
              <w:t>Dates are negotiable and will be arranged in accordance with service demand, staff availability, and team capacity.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Pr="001921E7" w:rsidRDefault="0060416E" w:rsidP="000677DC">
            <w:pPr>
              <w:rPr>
                <w:b/>
                <w:bCs/>
              </w:rPr>
            </w:pPr>
            <w:r w:rsidRPr="001921E7">
              <w:rPr>
                <w:b/>
                <w:bCs/>
              </w:rPr>
              <w:t>How to apply / arrange</w:t>
            </w:r>
          </w:p>
          <w:p w14:paraId="3A5E4207" w14:textId="3D8F0ACF" w:rsidR="0060416E" w:rsidRPr="001921E7" w:rsidRDefault="001921E7" w:rsidP="000677DC">
            <w:r w:rsidRPr="001921E7">
              <w:t>C</w:t>
            </w:r>
            <w:r w:rsidR="00F974B2">
              <w:t>omplete appropriate paperwork and obtain support from your manager, c</w:t>
            </w:r>
            <w:r w:rsidRPr="001921E7">
              <w:t xml:space="preserve">ontact </w:t>
            </w:r>
            <w:hyperlink r:id="rId9" w:history="1">
              <w:r w:rsidRPr="001921E7">
                <w:rPr>
                  <w:rStyle w:val="Hyperlink"/>
                  <w:color w:val="auto"/>
                </w:rPr>
                <w:t>loth.tvsstudydays@nhs.scot</w:t>
              </w:r>
            </w:hyperlink>
            <w:r w:rsidRPr="001921E7">
              <w:t xml:space="preserve"> – specifying whether you are interested in shadowing in </w:t>
            </w:r>
            <w:r w:rsidR="0077624B">
              <w:t>c</w:t>
            </w:r>
            <w:r w:rsidRPr="001921E7">
              <w:t xml:space="preserve">ommunity or </w:t>
            </w:r>
            <w:r w:rsidR="0077624B">
              <w:t>specific a</w:t>
            </w:r>
            <w:r w:rsidRPr="001921E7">
              <w:t xml:space="preserve">cute </w:t>
            </w:r>
            <w:r w:rsidR="0077624B">
              <w:t>sites and</w:t>
            </w:r>
            <w:r w:rsidRPr="001921E7">
              <w:t xml:space="preserve"> how long you wish to come for</w:t>
            </w:r>
            <w:r w:rsidR="0077624B">
              <w:t>/</w:t>
            </w:r>
            <w:r w:rsidRPr="001921E7">
              <w:t>a list of days that would suit you best.</w:t>
            </w:r>
          </w:p>
          <w:p w14:paraId="6A1DE8D8" w14:textId="52343715" w:rsidR="0060416E" w:rsidRPr="001921E7" w:rsidRDefault="0060416E" w:rsidP="000677DC">
            <w:pPr>
              <w:rPr>
                <w:b/>
                <w:bCs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foot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8231" w14:textId="77777777" w:rsidR="006B1282" w:rsidRDefault="006B1282" w:rsidP="000677DC">
      <w:pPr>
        <w:spacing w:after="0" w:line="240" w:lineRule="auto"/>
      </w:pPr>
      <w:r>
        <w:separator/>
      </w:r>
    </w:p>
  </w:endnote>
  <w:endnote w:type="continuationSeparator" w:id="0">
    <w:p w14:paraId="4E50FDC8" w14:textId="77777777" w:rsidR="006B1282" w:rsidRDefault="006B1282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505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EE3CF" w14:textId="32D9697B" w:rsidR="00E26D72" w:rsidRDefault="00E26D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B24A5B" w14:textId="77777777" w:rsidR="00E26D72" w:rsidRDefault="00E26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BEE2" w14:textId="77777777" w:rsidR="006B1282" w:rsidRDefault="006B1282" w:rsidP="000677DC">
      <w:pPr>
        <w:spacing w:after="0" w:line="240" w:lineRule="auto"/>
      </w:pPr>
      <w:r>
        <w:separator/>
      </w:r>
    </w:p>
  </w:footnote>
  <w:footnote w:type="continuationSeparator" w:id="0">
    <w:p w14:paraId="3A7FE6F7" w14:textId="77777777" w:rsidR="006B1282" w:rsidRDefault="006B1282" w:rsidP="0006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08F4"/>
    <w:multiLevelType w:val="hybridMultilevel"/>
    <w:tmpl w:val="E54C2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2"/>
  </w:num>
  <w:num w:numId="2" w16cid:durableId="2117554029">
    <w:abstractNumId w:val="1"/>
  </w:num>
  <w:num w:numId="3" w16cid:durableId="170062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E63FA"/>
    <w:rsid w:val="00123BC2"/>
    <w:rsid w:val="00153295"/>
    <w:rsid w:val="001921E7"/>
    <w:rsid w:val="001C62E0"/>
    <w:rsid w:val="001E565D"/>
    <w:rsid w:val="001F54C2"/>
    <w:rsid w:val="0035561D"/>
    <w:rsid w:val="003604FC"/>
    <w:rsid w:val="003E043A"/>
    <w:rsid w:val="0044336C"/>
    <w:rsid w:val="005845DE"/>
    <w:rsid w:val="00587A54"/>
    <w:rsid w:val="00587CB9"/>
    <w:rsid w:val="005B425B"/>
    <w:rsid w:val="005D42E8"/>
    <w:rsid w:val="0060416E"/>
    <w:rsid w:val="006B1282"/>
    <w:rsid w:val="00720BC6"/>
    <w:rsid w:val="0077624B"/>
    <w:rsid w:val="007D2364"/>
    <w:rsid w:val="00957A9D"/>
    <w:rsid w:val="00A62721"/>
    <w:rsid w:val="00A775B0"/>
    <w:rsid w:val="00B05497"/>
    <w:rsid w:val="00B52E5E"/>
    <w:rsid w:val="00B63FC9"/>
    <w:rsid w:val="00C40665"/>
    <w:rsid w:val="00C67AFF"/>
    <w:rsid w:val="00CF2E02"/>
    <w:rsid w:val="00CF5B2A"/>
    <w:rsid w:val="00D32B28"/>
    <w:rsid w:val="00E26D72"/>
    <w:rsid w:val="00F50086"/>
    <w:rsid w:val="00F9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C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h.tvsstudydays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oth.tvsstudydays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cp:lastPrinted>2026-03-27T08:12:00Z</cp:lastPrinted>
  <dcterms:created xsi:type="dcterms:W3CDTF">2026-05-19T09:35:00Z</dcterms:created>
  <dcterms:modified xsi:type="dcterms:W3CDTF">2026-05-19T09:35:00Z</dcterms:modified>
</cp:coreProperties>
</file>