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6646" w14:textId="6DD6C01A" w:rsidR="000677DC" w:rsidRDefault="001C6862" w:rsidP="001C6862">
      <w:pPr>
        <w:pStyle w:val="Heading1"/>
        <w:spacing w:line="240" w:lineRule="auto"/>
        <w:jc w:val="center"/>
      </w:pPr>
      <w:r>
        <w:rPr>
          <w:noProof/>
        </w:rPr>
        <w:drawing>
          <wp:inline distT="0" distB="0" distL="0" distR="0" wp14:anchorId="7EBF5383" wp14:editId="0CF3C9EB">
            <wp:extent cx="1621790" cy="1621790"/>
            <wp:effectExtent l="0" t="0" r="0" b="0"/>
            <wp:docPr id="821354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pic:spPr>
                </pic:pic>
              </a:graphicData>
            </a:graphic>
          </wp:inline>
        </w:drawing>
      </w:r>
      <w:r>
        <w:rPr>
          <w:noProof/>
        </w:rPr>
        <mc:AlternateContent>
          <mc:Choice Requires="wps">
            <w:drawing>
              <wp:anchor distT="45720" distB="45720" distL="114300" distR="114300" simplePos="0" relativeHeight="251659264" behindDoc="0" locked="0" layoutInCell="1" allowOverlap="1" wp14:anchorId="07ABC9E9" wp14:editId="519C2225">
                <wp:simplePos x="0" y="0"/>
                <wp:positionH relativeFrom="column">
                  <wp:posOffset>-438150</wp:posOffset>
                </wp:positionH>
                <wp:positionV relativeFrom="paragraph">
                  <wp:posOffset>0</wp:posOffset>
                </wp:positionV>
                <wp:extent cx="6669405" cy="752475"/>
                <wp:effectExtent l="0" t="0" r="0" b="0"/>
                <wp:wrapSquare wrapText="bothSides"/>
                <wp:docPr id="6642050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6705E323" w14:textId="77777777" w:rsidR="000677DC" w:rsidRDefault="000677DC">
                            <w:r w:rsidRPr="000677DC">
                              <w:rPr>
                                <w:noProof/>
                                <w:lang w:eastAsia="en-GB"/>
                              </w:rPr>
                              <w:drawing>
                                <wp:inline distT="0" distB="0" distL="0" distR="0" wp14:anchorId="0C918C77" wp14:editId="46C6605C">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BC9E9" id="_x0000_t202" coordsize="21600,21600" o:spt="202" path="m,l,21600r21600,l21600,xe">
                <v:stroke joinstyle="miter"/>
                <v:path gradientshapeok="t" o:connecttype="rect"/>
              </v:shapetype>
              <v:shape id="Text Box 1"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6705E323" w14:textId="77777777" w:rsidR="000677DC" w:rsidRDefault="000677DC">
                      <w:r w:rsidRPr="000677DC">
                        <w:rPr>
                          <w:noProof/>
                          <w:lang w:eastAsia="en-GB"/>
                        </w:rPr>
                        <w:drawing>
                          <wp:inline distT="0" distB="0" distL="0" distR="0" wp14:anchorId="0C918C77" wp14:editId="46C6605C">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p>
    <w:tbl>
      <w:tblPr>
        <w:tblStyle w:val="TableGrid"/>
        <w:tblW w:w="9782" w:type="dxa"/>
        <w:tblInd w:w="-289" w:type="dxa"/>
        <w:tblLook w:val="04A0" w:firstRow="1" w:lastRow="0" w:firstColumn="1" w:lastColumn="0" w:noHBand="0" w:noVBand="1"/>
      </w:tblPr>
      <w:tblGrid>
        <w:gridCol w:w="9782"/>
      </w:tblGrid>
      <w:tr w:rsidR="000677DC" w14:paraId="4B3A4523" w14:textId="77777777" w:rsidTr="00B05497">
        <w:tc>
          <w:tcPr>
            <w:tcW w:w="9782" w:type="dxa"/>
          </w:tcPr>
          <w:p w14:paraId="2432657F" w14:textId="77777777" w:rsidR="000677DC" w:rsidRDefault="0060416E" w:rsidP="000677DC">
            <w:pPr>
              <w:rPr>
                <w:b/>
                <w:bCs/>
                <w:color w:val="002060"/>
              </w:rPr>
            </w:pPr>
            <w:r>
              <w:rPr>
                <w:b/>
                <w:bCs/>
                <w:color w:val="002060"/>
              </w:rPr>
              <w:t>Level</w:t>
            </w:r>
          </w:p>
          <w:p w14:paraId="28783EB9" w14:textId="77777777" w:rsidR="0060416E" w:rsidRPr="0044336C" w:rsidRDefault="001C6862" w:rsidP="0060416E">
            <w:pPr>
              <w:rPr>
                <w:b/>
                <w:bCs/>
                <w:color w:val="002060"/>
              </w:rPr>
            </w:pPr>
            <w:sdt>
              <w:sdtPr>
                <w:rPr>
                  <w:b/>
                  <w:bCs/>
                  <w:color w:val="002060"/>
                  <w:szCs w:val="24"/>
                </w:rPr>
                <w:id w:val="-2072118756"/>
              </w:sdtPr>
              <w:sdtEndPr/>
              <w:sdtContent>
                <w:sdt>
                  <w:sdtPr>
                    <w:rPr>
                      <w:b/>
                      <w:bCs/>
                      <w:color w:val="002060"/>
                      <w:szCs w:val="24"/>
                    </w:rPr>
                    <w:id w:val="4235313"/>
                  </w:sdtPr>
                  <w:sdtEndPr/>
                  <w:sdtContent>
                    <w:r w:rsidR="0037443E">
                      <w:rPr>
                        <w:rFonts w:ascii="MS Gothic" w:eastAsia="MS Gothic" w:hAnsi="MS Gothic" w:hint="eastAsia"/>
                        <w:b/>
                        <w:bCs/>
                        <w:color w:val="002060"/>
                        <w:szCs w:val="24"/>
                      </w:rPr>
                      <w:t>☒</w:t>
                    </w:r>
                  </w:sdtContent>
                </w:sdt>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280B0E8F" w14:textId="77777777" w:rsidR="00D32B28" w:rsidRPr="00D32B28" w:rsidRDefault="00D32B28" w:rsidP="000677DC"/>
        </w:tc>
      </w:tr>
      <w:tr w:rsidR="0060416E" w14:paraId="10425E37" w14:textId="77777777" w:rsidTr="00B05497">
        <w:tc>
          <w:tcPr>
            <w:tcW w:w="9782" w:type="dxa"/>
          </w:tcPr>
          <w:p w14:paraId="157B2A9B" w14:textId="77777777" w:rsidR="0060416E" w:rsidRDefault="0060416E" w:rsidP="000677DC">
            <w:pPr>
              <w:rPr>
                <w:b/>
                <w:bCs/>
                <w:color w:val="002060"/>
              </w:rPr>
            </w:pPr>
            <w:r>
              <w:rPr>
                <w:b/>
                <w:bCs/>
                <w:color w:val="002060"/>
              </w:rPr>
              <w:t>Title</w:t>
            </w:r>
            <w:r w:rsidR="00B05497">
              <w:rPr>
                <w:b/>
                <w:bCs/>
                <w:color w:val="002060"/>
              </w:rPr>
              <w:t xml:space="preserve"> of Opportunity</w:t>
            </w:r>
          </w:p>
          <w:p w14:paraId="311E3C73" w14:textId="77777777" w:rsidR="0044336C" w:rsidRPr="0044336C" w:rsidRDefault="0037443E" w:rsidP="000677DC">
            <w:r>
              <w:t>Shadow the Emergency Medicine Research Group (EMERGE)</w:t>
            </w:r>
          </w:p>
          <w:p w14:paraId="7001CDD5" w14:textId="77777777" w:rsidR="00B05497" w:rsidRPr="003E043A" w:rsidRDefault="00B05497" w:rsidP="000677DC">
            <w:pPr>
              <w:rPr>
                <w:b/>
                <w:bCs/>
              </w:rPr>
            </w:pPr>
          </w:p>
        </w:tc>
      </w:tr>
      <w:tr w:rsidR="0060416E" w14:paraId="45517D75" w14:textId="77777777" w:rsidTr="00B05497">
        <w:tc>
          <w:tcPr>
            <w:tcW w:w="9782" w:type="dxa"/>
          </w:tcPr>
          <w:p w14:paraId="5D2524F1" w14:textId="77777777" w:rsidR="0060416E" w:rsidRDefault="0060416E" w:rsidP="000677DC">
            <w:pPr>
              <w:rPr>
                <w:b/>
                <w:bCs/>
                <w:color w:val="002060"/>
              </w:rPr>
            </w:pPr>
            <w:r>
              <w:rPr>
                <w:b/>
                <w:bCs/>
                <w:color w:val="002060"/>
              </w:rPr>
              <w:t>Location</w:t>
            </w:r>
          </w:p>
          <w:p w14:paraId="75071DE5" w14:textId="15747201" w:rsidR="0060416E" w:rsidRPr="0044336C" w:rsidRDefault="0037443E" w:rsidP="000677DC">
            <w:r>
              <w:t xml:space="preserve">Emergency </w:t>
            </w:r>
            <w:r w:rsidR="001C6862">
              <w:t>D</w:t>
            </w:r>
            <w:r>
              <w:t>epartment, Royal Infirmary of Edinburgh or St. John’s Hospital</w:t>
            </w:r>
          </w:p>
          <w:p w14:paraId="2D12CD0F" w14:textId="77777777" w:rsidR="00B05497" w:rsidRPr="00D32B28" w:rsidRDefault="00B05497" w:rsidP="000677DC">
            <w:pPr>
              <w:rPr>
                <w:b/>
                <w:bCs/>
                <w:color w:val="002060"/>
              </w:rPr>
            </w:pPr>
          </w:p>
        </w:tc>
      </w:tr>
      <w:tr w:rsidR="0060416E" w14:paraId="31C03ADB" w14:textId="77777777" w:rsidTr="00B05497">
        <w:tc>
          <w:tcPr>
            <w:tcW w:w="9782" w:type="dxa"/>
          </w:tcPr>
          <w:p w14:paraId="6246D681" w14:textId="77777777" w:rsidR="005845DE"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612DCEAD" w14:textId="5C3F0DD0" w:rsidR="00B05497" w:rsidRPr="001C6862" w:rsidRDefault="0037443E" w:rsidP="000677DC">
            <w:r>
              <w:t>Rachel O’Brien</w:t>
            </w:r>
            <w:r w:rsidR="001C6862">
              <w:t>, Clinical Research Nurse Manager</w:t>
            </w:r>
            <w:r w:rsidR="0060416E">
              <w:rPr>
                <w:b/>
                <w:bCs/>
                <w:color w:val="002060"/>
              </w:rPr>
              <w:t xml:space="preserve">                                                                         </w:t>
            </w:r>
          </w:p>
          <w:p w14:paraId="355EA288" w14:textId="77777777" w:rsidR="0060416E" w:rsidRDefault="0060416E" w:rsidP="000677DC">
            <w:pPr>
              <w:rPr>
                <w:b/>
                <w:bCs/>
                <w:color w:val="002060"/>
              </w:rPr>
            </w:pPr>
            <w:r>
              <w:rPr>
                <w:b/>
                <w:bCs/>
                <w:color w:val="002060"/>
              </w:rPr>
              <w:t>Email</w:t>
            </w:r>
          </w:p>
          <w:p w14:paraId="0A8E1387" w14:textId="77777777" w:rsidR="0060416E" w:rsidRPr="0044336C" w:rsidRDefault="0037443E" w:rsidP="000677DC">
            <w:r>
              <w:t>Rachel.o’brien@nhs.scot</w:t>
            </w:r>
          </w:p>
          <w:p w14:paraId="078FC689" w14:textId="77777777" w:rsidR="0060416E" w:rsidRPr="00D32B28" w:rsidRDefault="0060416E" w:rsidP="000677DC">
            <w:pPr>
              <w:rPr>
                <w:b/>
                <w:bCs/>
                <w:color w:val="002060"/>
              </w:rPr>
            </w:pPr>
          </w:p>
        </w:tc>
      </w:tr>
      <w:tr w:rsidR="0060416E" w14:paraId="53D407EB" w14:textId="77777777" w:rsidTr="00B05497">
        <w:tc>
          <w:tcPr>
            <w:tcW w:w="9782" w:type="dxa"/>
          </w:tcPr>
          <w:p w14:paraId="369EA92B" w14:textId="77777777" w:rsidR="0060416E" w:rsidRDefault="0060416E" w:rsidP="000677DC">
            <w:pPr>
              <w:rPr>
                <w:b/>
                <w:bCs/>
                <w:color w:val="002060"/>
              </w:rPr>
            </w:pPr>
            <w:r>
              <w:rPr>
                <w:b/>
                <w:bCs/>
                <w:color w:val="002060"/>
              </w:rPr>
              <w:t>Duration</w:t>
            </w:r>
          </w:p>
          <w:p w14:paraId="6921E17B" w14:textId="7A01DE9E" w:rsidR="0060416E" w:rsidRPr="001C6862" w:rsidRDefault="0037443E" w:rsidP="000677DC">
            <w:r>
              <w:t>Happy to have people for a full day but less if that works better.</w:t>
            </w:r>
          </w:p>
        </w:tc>
      </w:tr>
      <w:tr w:rsidR="000677DC" w14:paraId="008FD712" w14:textId="77777777" w:rsidTr="00B05497">
        <w:tc>
          <w:tcPr>
            <w:tcW w:w="9782" w:type="dxa"/>
          </w:tcPr>
          <w:p w14:paraId="0840B338" w14:textId="77777777" w:rsidR="000677DC" w:rsidRDefault="0060416E" w:rsidP="000677DC">
            <w:pPr>
              <w:rPr>
                <w:b/>
                <w:bCs/>
                <w:color w:val="002060"/>
              </w:rPr>
            </w:pPr>
            <w:r>
              <w:rPr>
                <w:b/>
                <w:bCs/>
                <w:color w:val="002060"/>
              </w:rPr>
              <w:t xml:space="preserve">Description of Opportunity </w:t>
            </w:r>
          </w:p>
          <w:p w14:paraId="3680A6E8" w14:textId="34C64F7B" w:rsidR="00D32B28" w:rsidRPr="00D32B28" w:rsidRDefault="0037443E" w:rsidP="000677DC">
            <w:r>
              <w:t>This opportunity offers hands-on experience in clinical research within a fast-paced, dynamic environment. Participants will gain exposure to a diverse range of research studies, providing patients with access to novel treatments and opportunities in an acute care setting. The team collaborates extensively with a broad network of investigators and multiple medical specialties, fostering a rich, interdisciplinary learning experience.</w:t>
            </w:r>
          </w:p>
        </w:tc>
      </w:tr>
      <w:tr w:rsidR="000677DC" w14:paraId="210CEF63" w14:textId="77777777" w:rsidTr="00B05497">
        <w:tc>
          <w:tcPr>
            <w:tcW w:w="9782" w:type="dxa"/>
          </w:tcPr>
          <w:p w14:paraId="293A7747" w14:textId="77777777" w:rsidR="000677DC" w:rsidRDefault="0060416E" w:rsidP="001C6862">
            <w:pPr>
              <w:pStyle w:val="NoSpacing"/>
            </w:pPr>
            <w:r>
              <w:t>Opportunities for candidate</w:t>
            </w:r>
          </w:p>
          <w:p w14:paraId="42FE98F0" w14:textId="77777777" w:rsidR="004B75B3" w:rsidRPr="004B75B3" w:rsidRDefault="0037443E" w:rsidP="001C6862">
            <w:pPr>
              <w:pStyle w:val="NoSpacing"/>
              <w:rPr>
                <w:rFonts w:cstheme="minorHAnsi"/>
              </w:rPr>
            </w:pPr>
            <w:r w:rsidRPr="004B75B3">
              <w:rPr>
                <w:rStyle w:val="Strong"/>
                <w:rFonts w:cstheme="minorHAnsi"/>
              </w:rPr>
              <w:t>Hands-On Exposure:</w:t>
            </w:r>
            <w:r w:rsidRPr="004B75B3">
              <w:rPr>
                <w:rFonts w:cstheme="minorHAnsi"/>
              </w:rPr>
              <w:t xml:space="preserve"> Direct involvement in clinical research activities within a fast-paced acute care setting.</w:t>
            </w:r>
          </w:p>
          <w:p w14:paraId="3C3E12BB" w14:textId="77777777" w:rsidR="0037443E" w:rsidRPr="004B75B3" w:rsidRDefault="0037443E" w:rsidP="001C6862">
            <w:pPr>
              <w:pStyle w:val="NoSpacing"/>
              <w:rPr>
                <w:rFonts w:cstheme="minorHAnsi"/>
              </w:rPr>
            </w:pPr>
            <w:r w:rsidRPr="004B75B3">
              <w:rPr>
                <w:rStyle w:val="Strong"/>
                <w:rFonts w:cstheme="minorHAnsi"/>
              </w:rPr>
              <w:t>Learning Diversity:</w:t>
            </w:r>
            <w:r w:rsidRPr="004B75B3">
              <w:rPr>
                <w:rFonts w:cstheme="minorHAnsi"/>
              </w:rPr>
              <w:t xml:space="preserve"> Insight into a wide variety of research studies across multiple medical specialties, broadening clinical knowledge.</w:t>
            </w:r>
          </w:p>
          <w:p w14:paraId="34616281" w14:textId="77777777" w:rsidR="0037443E" w:rsidRPr="004B75B3" w:rsidRDefault="0037443E" w:rsidP="001C6862">
            <w:pPr>
              <w:pStyle w:val="NoSpacing"/>
              <w:rPr>
                <w:rFonts w:cstheme="minorHAnsi"/>
              </w:rPr>
            </w:pPr>
            <w:r w:rsidRPr="004B75B3">
              <w:rPr>
                <w:rStyle w:val="Strong"/>
                <w:rFonts w:cstheme="minorHAnsi"/>
              </w:rPr>
              <w:t>Interdisciplinary Collaboration:</w:t>
            </w:r>
            <w:r w:rsidRPr="004B75B3">
              <w:rPr>
                <w:rFonts w:cstheme="minorHAnsi"/>
              </w:rPr>
              <w:t xml:space="preserve"> Experience working alongside investigators, clinicians, and specialists, enhancing teamwork and communication skills.</w:t>
            </w:r>
          </w:p>
          <w:p w14:paraId="170CCF26" w14:textId="77777777" w:rsidR="0037443E" w:rsidRPr="004B75B3" w:rsidRDefault="0037443E" w:rsidP="001C6862">
            <w:pPr>
              <w:pStyle w:val="NoSpacing"/>
              <w:rPr>
                <w:rFonts w:cstheme="minorHAnsi"/>
              </w:rPr>
            </w:pPr>
            <w:r w:rsidRPr="004B75B3">
              <w:rPr>
                <w:rStyle w:val="Strong"/>
                <w:rFonts w:cstheme="minorHAnsi"/>
              </w:rPr>
              <w:t>Professional Networking:</w:t>
            </w:r>
            <w:r w:rsidRPr="004B75B3">
              <w:rPr>
                <w:rFonts w:cstheme="minorHAnsi"/>
              </w:rPr>
              <w:t xml:space="preserve"> Building relationships with research professionals and healthcare providers, which could open doors for future career opportunities.</w:t>
            </w:r>
          </w:p>
          <w:p w14:paraId="6173A7F0" w14:textId="77777777" w:rsidR="0037443E" w:rsidRPr="004B75B3" w:rsidRDefault="0037443E" w:rsidP="001C6862">
            <w:pPr>
              <w:pStyle w:val="NoSpacing"/>
              <w:rPr>
                <w:rFonts w:cstheme="minorHAnsi"/>
              </w:rPr>
            </w:pPr>
            <w:r w:rsidRPr="004B75B3">
              <w:rPr>
                <w:rStyle w:val="Strong"/>
                <w:rFonts w:cstheme="minorHAnsi"/>
              </w:rPr>
              <w:t>Skill Development:</w:t>
            </w:r>
            <w:r w:rsidRPr="004B75B3">
              <w:rPr>
                <w:rFonts w:cstheme="minorHAnsi"/>
              </w:rPr>
              <w:t xml:space="preserve"> I</w:t>
            </w:r>
            <w:r w:rsidR="004B75B3">
              <w:rPr>
                <w:rFonts w:cstheme="minorHAnsi"/>
              </w:rPr>
              <w:t>nsight</w:t>
            </w:r>
            <w:r w:rsidRPr="004B75B3">
              <w:rPr>
                <w:rFonts w:cstheme="minorHAnsi"/>
              </w:rPr>
              <w:t xml:space="preserve"> in</w:t>
            </w:r>
            <w:r w:rsidR="004B75B3">
              <w:rPr>
                <w:rFonts w:cstheme="minorHAnsi"/>
              </w:rPr>
              <w:t>to</w:t>
            </w:r>
            <w:r w:rsidRPr="004B75B3">
              <w:rPr>
                <w:rFonts w:cstheme="minorHAnsi"/>
              </w:rPr>
              <w:t xml:space="preserve"> research-related skills such as patient recruitment, data collection, protocol adherence, and regulatory compliance.</w:t>
            </w:r>
          </w:p>
          <w:p w14:paraId="2CFE98CD" w14:textId="77777777" w:rsidR="0037443E" w:rsidRPr="004B75B3" w:rsidRDefault="0037443E" w:rsidP="001C6862">
            <w:pPr>
              <w:pStyle w:val="NoSpacing"/>
              <w:rPr>
                <w:rFonts w:cstheme="minorHAnsi"/>
              </w:rPr>
            </w:pPr>
            <w:r w:rsidRPr="004B75B3">
              <w:rPr>
                <w:rStyle w:val="Strong"/>
                <w:rFonts w:cstheme="minorHAnsi"/>
              </w:rPr>
              <w:t>Understanding Clinical Impact:</w:t>
            </w:r>
            <w:r w:rsidRPr="004B75B3">
              <w:rPr>
                <w:rFonts w:cstheme="minorHAnsi"/>
              </w:rPr>
              <w:t xml:space="preserve"> Seeing firsthand how research translates into patient care and contributes to medical advancements.</w:t>
            </w:r>
          </w:p>
          <w:p w14:paraId="3E38B88E" w14:textId="77777777" w:rsidR="00B05497" w:rsidRPr="004B75B3" w:rsidRDefault="0037443E" w:rsidP="001C6862">
            <w:pPr>
              <w:pStyle w:val="NoSpacing"/>
              <w:rPr>
                <w:rFonts w:cstheme="minorHAnsi"/>
              </w:rPr>
            </w:pPr>
            <w:r w:rsidRPr="004B75B3">
              <w:rPr>
                <w:rStyle w:val="Strong"/>
                <w:rFonts w:cstheme="minorHAnsi"/>
              </w:rPr>
              <w:t>Career Insight:</w:t>
            </w:r>
            <w:r w:rsidRPr="004B75B3">
              <w:rPr>
                <w:rFonts w:cstheme="minorHAnsi"/>
              </w:rPr>
              <w:t xml:space="preserve"> Gaining clarity about potential career paths in clinical research, healthcare, or related fields.</w:t>
            </w:r>
          </w:p>
        </w:tc>
      </w:tr>
      <w:tr w:rsidR="00B05497" w14:paraId="7244C2A6" w14:textId="77777777" w:rsidTr="00B05497">
        <w:tc>
          <w:tcPr>
            <w:tcW w:w="9782" w:type="dxa"/>
          </w:tcPr>
          <w:p w14:paraId="08486D9A" w14:textId="77777777" w:rsidR="00B05497" w:rsidRPr="001C6862" w:rsidRDefault="00B05497" w:rsidP="001C6862">
            <w:pPr>
              <w:pStyle w:val="ListParagraph"/>
              <w:numPr>
                <w:ilvl w:val="0"/>
                <w:numId w:val="9"/>
              </w:numPr>
              <w:rPr>
                <w:b/>
                <w:bCs/>
                <w:color w:val="002060"/>
              </w:rPr>
            </w:pPr>
            <w:r w:rsidRPr="001C6862">
              <w:rPr>
                <w:b/>
                <w:bCs/>
                <w:color w:val="002060"/>
              </w:rPr>
              <w:t>Expected Learning / Outcomes</w:t>
            </w:r>
          </w:p>
          <w:p w14:paraId="5DA16F1B" w14:textId="77777777" w:rsidR="004B75B3" w:rsidRPr="004B75B3" w:rsidRDefault="004B75B3" w:rsidP="001C6862">
            <w:pPr>
              <w:pStyle w:val="NormalWeb"/>
              <w:numPr>
                <w:ilvl w:val="0"/>
                <w:numId w:val="9"/>
              </w:numPr>
              <w:rPr>
                <w:rFonts w:asciiTheme="minorHAnsi" w:hAnsiTheme="minorHAnsi" w:cstheme="minorHAnsi"/>
                <w:sz w:val="22"/>
              </w:rPr>
            </w:pPr>
            <w:r w:rsidRPr="004B75B3">
              <w:rPr>
                <w:rFonts w:asciiTheme="minorHAnsi" w:hAnsiTheme="minorHAnsi" w:cstheme="minorHAnsi"/>
                <w:sz w:val="22"/>
              </w:rPr>
              <w:t>Develop hands-on skills in clinical research processes, data collection, and regulatory compliance.</w:t>
            </w:r>
          </w:p>
          <w:p w14:paraId="15304790" w14:textId="77AA266A" w:rsidR="004B75B3" w:rsidRPr="004B75B3" w:rsidRDefault="004B75B3" w:rsidP="001C6862">
            <w:pPr>
              <w:pStyle w:val="NormalWeb"/>
              <w:numPr>
                <w:ilvl w:val="0"/>
                <w:numId w:val="9"/>
              </w:numPr>
              <w:rPr>
                <w:rFonts w:asciiTheme="minorHAnsi" w:hAnsiTheme="minorHAnsi" w:cstheme="minorHAnsi"/>
                <w:sz w:val="22"/>
              </w:rPr>
            </w:pPr>
            <w:r>
              <w:rPr>
                <w:rFonts w:asciiTheme="minorHAnsi" w:hAnsiTheme="minorHAnsi" w:cstheme="minorHAnsi"/>
                <w:sz w:val="22"/>
              </w:rPr>
              <w:t xml:space="preserve"> Understand </w:t>
            </w:r>
            <w:r w:rsidR="001C6862">
              <w:rPr>
                <w:rFonts w:asciiTheme="minorHAnsi" w:hAnsiTheme="minorHAnsi" w:cstheme="minorHAnsi"/>
                <w:sz w:val="22"/>
              </w:rPr>
              <w:t>c</w:t>
            </w:r>
            <w:r>
              <w:rPr>
                <w:rFonts w:asciiTheme="minorHAnsi" w:hAnsiTheme="minorHAnsi" w:cstheme="minorHAnsi"/>
                <w:sz w:val="22"/>
              </w:rPr>
              <w:t>ollaboration</w:t>
            </w:r>
            <w:r w:rsidRPr="004B75B3">
              <w:rPr>
                <w:rFonts w:asciiTheme="minorHAnsi" w:hAnsiTheme="minorHAnsi" w:cstheme="minorHAnsi"/>
                <w:sz w:val="22"/>
              </w:rPr>
              <w:t xml:space="preserve"> with multidisciplinary teams across various medical specialties.</w:t>
            </w:r>
          </w:p>
          <w:p w14:paraId="7836103D" w14:textId="77777777" w:rsidR="004B75B3" w:rsidRPr="004B75B3" w:rsidRDefault="004B75B3" w:rsidP="001C6862">
            <w:pPr>
              <w:pStyle w:val="NormalWeb"/>
              <w:numPr>
                <w:ilvl w:val="0"/>
                <w:numId w:val="9"/>
              </w:numPr>
              <w:rPr>
                <w:rFonts w:asciiTheme="minorHAnsi" w:hAnsiTheme="minorHAnsi" w:cstheme="minorHAnsi"/>
                <w:sz w:val="22"/>
              </w:rPr>
            </w:pPr>
            <w:r w:rsidRPr="004B75B3">
              <w:rPr>
                <w:rFonts w:asciiTheme="minorHAnsi" w:hAnsiTheme="minorHAnsi" w:cstheme="minorHAnsi"/>
                <w:sz w:val="22"/>
              </w:rPr>
              <w:lastRenderedPageBreak/>
              <w:t>Understand ethical principles and patient-centered approaches in clinical research.</w:t>
            </w:r>
          </w:p>
          <w:p w14:paraId="4D19E574" w14:textId="77777777" w:rsidR="004B75B3" w:rsidRPr="004B75B3" w:rsidRDefault="004B75B3" w:rsidP="001C6862">
            <w:pPr>
              <w:pStyle w:val="NormalWeb"/>
              <w:numPr>
                <w:ilvl w:val="0"/>
                <w:numId w:val="9"/>
              </w:numPr>
              <w:rPr>
                <w:rFonts w:asciiTheme="minorHAnsi" w:hAnsiTheme="minorHAnsi" w:cstheme="minorHAnsi"/>
                <w:sz w:val="22"/>
              </w:rPr>
            </w:pPr>
            <w:r w:rsidRPr="004B75B3">
              <w:rPr>
                <w:rFonts w:asciiTheme="minorHAnsi" w:hAnsiTheme="minorHAnsi" w:cstheme="minorHAnsi"/>
                <w:sz w:val="22"/>
              </w:rPr>
              <w:t>Strengthen critical thinking, problem-solving, and communication skills.</w:t>
            </w:r>
          </w:p>
          <w:p w14:paraId="75845F31" w14:textId="77777777" w:rsidR="00B05497" w:rsidRPr="004B75B3" w:rsidRDefault="004B75B3" w:rsidP="001C6862">
            <w:pPr>
              <w:pStyle w:val="NormalWeb"/>
              <w:numPr>
                <w:ilvl w:val="0"/>
                <w:numId w:val="9"/>
              </w:numPr>
              <w:rPr>
                <w:rFonts w:asciiTheme="minorHAnsi" w:hAnsiTheme="minorHAnsi" w:cstheme="minorHAnsi"/>
                <w:sz w:val="22"/>
              </w:rPr>
            </w:pPr>
            <w:r w:rsidRPr="004B75B3">
              <w:rPr>
                <w:rFonts w:asciiTheme="minorHAnsi" w:hAnsiTheme="minorHAnsi" w:cstheme="minorHAnsi"/>
                <w:sz w:val="22"/>
              </w:rPr>
              <w:t>Gain insight into career paths within clinical and academic research.</w:t>
            </w:r>
          </w:p>
        </w:tc>
      </w:tr>
      <w:tr w:rsidR="003E043A" w14:paraId="21F620E4" w14:textId="77777777" w:rsidTr="00B05497">
        <w:tc>
          <w:tcPr>
            <w:tcW w:w="9782" w:type="dxa"/>
          </w:tcPr>
          <w:p w14:paraId="52EC5137" w14:textId="77777777" w:rsidR="003E043A" w:rsidRDefault="003E043A" w:rsidP="000677DC">
            <w:pPr>
              <w:rPr>
                <w:b/>
                <w:bCs/>
                <w:color w:val="002060"/>
              </w:rPr>
            </w:pPr>
            <w:r>
              <w:rPr>
                <w:b/>
                <w:bCs/>
                <w:color w:val="002060"/>
              </w:rPr>
              <w:lastRenderedPageBreak/>
              <w:t>Target Group</w:t>
            </w:r>
          </w:p>
          <w:p w14:paraId="171F2C60" w14:textId="5590998E" w:rsidR="003E043A" w:rsidRDefault="004B75B3" w:rsidP="000677DC">
            <w:pPr>
              <w:rPr>
                <w:b/>
                <w:bCs/>
                <w:color w:val="002060"/>
              </w:rPr>
            </w:pPr>
            <w:r w:rsidRPr="004B75B3">
              <w:t>This opportunity is ideal for anyone interested in understanding how clinical research operates in practice. It is suitable for individuals exploring careers in research or healthcare, as well as those seeking</w:t>
            </w:r>
            <w:r>
              <w:t xml:space="preserve"> exposure to a variety of roles, </w:t>
            </w:r>
            <w:r w:rsidRPr="004B75B3">
              <w:t>bot</w:t>
            </w:r>
            <w:r>
              <w:t xml:space="preserve">h registered and non-registered, </w:t>
            </w:r>
            <w:r w:rsidRPr="004B75B3">
              <w:t>within the clinical research field.</w:t>
            </w:r>
          </w:p>
        </w:tc>
      </w:tr>
      <w:tr w:rsidR="000677DC" w14:paraId="49C195A1" w14:textId="77777777" w:rsidTr="00B05497">
        <w:tc>
          <w:tcPr>
            <w:tcW w:w="9782" w:type="dxa"/>
          </w:tcPr>
          <w:p w14:paraId="7A587F46" w14:textId="77777777" w:rsidR="000677DC" w:rsidRDefault="0060416E" w:rsidP="000677DC">
            <w:pPr>
              <w:rPr>
                <w:b/>
                <w:bCs/>
                <w:color w:val="002060"/>
              </w:rPr>
            </w:pPr>
            <w:r>
              <w:rPr>
                <w:b/>
                <w:bCs/>
                <w:color w:val="002060"/>
              </w:rPr>
              <w:t>Dates available</w:t>
            </w:r>
          </w:p>
          <w:p w14:paraId="3017A654" w14:textId="77777777" w:rsidR="003E043A" w:rsidRDefault="004B75B3" w:rsidP="000677DC">
            <w:r>
              <w:t>By arrangement</w:t>
            </w:r>
          </w:p>
          <w:p w14:paraId="1654AEC6" w14:textId="77777777" w:rsidR="00D32B28" w:rsidRPr="00D32B28" w:rsidRDefault="00D32B28" w:rsidP="000677DC"/>
        </w:tc>
      </w:tr>
      <w:tr w:rsidR="0060416E" w14:paraId="6F5EA6C9" w14:textId="77777777" w:rsidTr="00B05497">
        <w:tc>
          <w:tcPr>
            <w:tcW w:w="9782" w:type="dxa"/>
          </w:tcPr>
          <w:p w14:paraId="22962811" w14:textId="77777777" w:rsidR="0060416E" w:rsidRDefault="0060416E" w:rsidP="000677DC">
            <w:pPr>
              <w:rPr>
                <w:b/>
                <w:bCs/>
                <w:color w:val="002060"/>
              </w:rPr>
            </w:pPr>
            <w:r>
              <w:rPr>
                <w:b/>
                <w:bCs/>
                <w:color w:val="002060"/>
              </w:rPr>
              <w:t>How to apply / arrange</w:t>
            </w:r>
          </w:p>
          <w:p w14:paraId="124B573E" w14:textId="275FCFE7" w:rsidR="0060416E" w:rsidRPr="001C6862" w:rsidRDefault="004B75B3" w:rsidP="000677DC">
            <w:pPr>
              <w:rPr>
                <w:bCs/>
                <w:color w:val="002060"/>
              </w:rPr>
            </w:pPr>
            <w:r w:rsidRPr="004B75B3">
              <w:rPr>
                <w:bCs/>
                <w:color w:val="002060"/>
              </w:rPr>
              <w:t>Contact Rachel.o’brien@nhs.scot</w:t>
            </w:r>
          </w:p>
        </w:tc>
      </w:tr>
    </w:tbl>
    <w:p w14:paraId="1D314EE1" w14:textId="77777777" w:rsidR="000677DC" w:rsidRPr="000677DC" w:rsidRDefault="000677DC" w:rsidP="000677DC"/>
    <w:sectPr w:rsidR="000677DC" w:rsidRPr="000677DC" w:rsidSect="000677DC">
      <w:head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8867" w14:textId="77777777" w:rsidR="000677DC" w:rsidRDefault="000677DC" w:rsidP="000677DC">
      <w:pPr>
        <w:spacing w:after="0" w:line="240" w:lineRule="auto"/>
      </w:pPr>
      <w:r>
        <w:separator/>
      </w:r>
    </w:p>
  </w:endnote>
  <w:endnote w:type="continuationSeparator" w:id="0">
    <w:p w14:paraId="0E9920D8"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D75F" w14:textId="77777777" w:rsidR="000677DC" w:rsidRDefault="000677DC" w:rsidP="000677DC">
      <w:pPr>
        <w:spacing w:after="0" w:line="240" w:lineRule="auto"/>
      </w:pPr>
      <w:r>
        <w:separator/>
      </w:r>
    </w:p>
  </w:footnote>
  <w:footnote w:type="continuationSeparator" w:id="0">
    <w:p w14:paraId="698BC467"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C0E8"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CC1"/>
    <w:multiLevelType w:val="hybridMultilevel"/>
    <w:tmpl w:val="6DB094D8"/>
    <w:lvl w:ilvl="0" w:tplc="E06640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6E11"/>
    <w:multiLevelType w:val="hybridMultilevel"/>
    <w:tmpl w:val="B32653D2"/>
    <w:lvl w:ilvl="0" w:tplc="E06640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C68A6"/>
    <w:multiLevelType w:val="hybridMultilevel"/>
    <w:tmpl w:val="55122A64"/>
    <w:lvl w:ilvl="0" w:tplc="E06640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3293A"/>
    <w:multiLevelType w:val="hybridMultilevel"/>
    <w:tmpl w:val="C504DC46"/>
    <w:lvl w:ilvl="0" w:tplc="E0664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B92D6B"/>
    <w:multiLevelType w:val="hybridMultilevel"/>
    <w:tmpl w:val="51FE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F1BD6"/>
    <w:multiLevelType w:val="hybridMultilevel"/>
    <w:tmpl w:val="1690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3731A9"/>
    <w:multiLevelType w:val="hybridMultilevel"/>
    <w:tmpl w:val="D4F66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42056">
    <w:abstractNumId w:val="8"/>
  </w:num>
  <w:num w:numId="2" w16cid:durableId="205341330">
    <w:abstractNumId w:val="6"/>
  </w:num>
  <w:num w:numId="3" w16cid:durableId="811556238">
    <w:abstractNumId w:val="4"/>
  </w:num>
  <w:num w:numId="4" w16cid:durableId="353386590">
    <w:abstractNumId w:val="2"/>
  </w:num>
  <w:num w:numId="5" w16cid:durableId="718936255">
    <w:abstractNumId w:val="3"/>
  </w:num>
  <w:num w:numId="6" w16cid:durableId="1974673875">
    <w:abstractNumId w:val="1"/>
  </w:num>
  <w:num w:numId="7" w16cid:durableId="1644114547">
    <w:abstractNumId w:val="0"/>
  </w:num>
  <w:num w:numId="8" w16cid:durableId="364405488">
    <w:abstractNumId w:val="7"/>
  </w:num>
  <w:num w:numId="9" w16cid:durableId="1220826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0677E9"/>
    <w:rsid w:val="00123BC2"/>
    <w:rsid w:val="001C62E0"/>
    <w:rsid w:val="001C6862"/>
    <w:rsid w:val="001E565D"/>
    <w:rsid w:val="001F54C2"/>
    <w:rsid w:val="0037443E"/>
    <w:rsid w:val="003E043A"/>
    <w:rsid w:val="0044336C"/>
    <w:rsid w:val="004B75B3"/>
    <w:rsid w:val="005845DE"/>
    <w:rsid w:val="00587A54"/>
    <w:rsid w:val="005B425B"/>
    <w:rsid w:val="0060416E"/>
    <w:rsid w:val="006C321A"/>
    <w:rsid w:val="00720BC6"/>
    <w:rsid w:val="007D2364"/>
    <w:rsid w:val="00957A9D"/>
    <w:rsid w:val="00A62721"/>
    <w:rsid w:val="00B05497"/>
    <w:rsid w:val="00C40665"/>
    <w:rsid w:val="00D3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0A4255"/>
  <w15:docId w15:val="{200899B1-1349-4A07-9649-2F7AFA11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E9"/>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paragraph" w:styleId="BalloonText">
    <w:name w:val="Balloon Text"/>
    <w:basedOn w:val="Normal"/>
    <w:link w:val="BalloonTextChar"/>
    <w:uiPriority w:val="99"/>
    <w:semiHidden/>
    <w:unhideWhenUsed/>
    <w:rsid w:val="0037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43E"/>
    <w:rPr>
      <w:rFonts w:ascii="Tahoma" w:hAnsi="Tahoma" w:cs="Tahoma"/>
      <w:sz w:val="16"/>
      <w:szCs w:val="16"/>
    </w:rPr>
  </w:style>
  <w:style w:type="paragraph" w:styleId="NormalWeb">
    <w:name w:val="Normal (Web)"/>
    <w:basedOn w:val="Normal"/>
    <w:uiPriority w:val="99"/>
    <w:unhideWhenUsed/>
    <w:rsid w:val="0037443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37443E"/>
    <w:rPr>
      <w:b/>
      <w:bCs/>
    </w:rPr>
  </w:style>
  <w:style w:type="paragraph" w:styleId="NoSpacing">
    <w:name w:val="No Spacing"/>
    <w:uiPriority w:val="1"/>
    <w:qFormat/>
    <w:rsid w:val="001C6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1935">
      <w:bodyDiv w:val="1"/>
      <w:marLeft w:val="0"/>
      <w:marRight w:val="0"/>
      <w:marTop w:val="0"/>
      <w:marBottom w:val="0"/>
      <w:divBdr>
        <w:top w:val="none" w:sz="0" w:space="0" w:color="auto"/>
        <w:left w:val="none" w:sz="0" w:space="0" w:color="auto"/>
        <w:bottom w:val="none" w:sz="0" w:space="0" w:color="auto"/>
        <w:right w:val="none" w:sz="0" w:space="0" w:color="auto"/>
      </w:divBdr>
    </w:div>
    <w:div w:id="10238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2</cp:revision>
  <dcterms:created xsi:type="dcterms:W3CDTF">2025-11-10T15:56:00Z</dcterms:created>
  <dcterms:modified xsi:type="dcterms:W3CDTF">2025-11-10T15:56:00Z</dcterms:modified>
</cp:coreProperties>
</file>