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51A" w14:textId="1D24BB8A" w:rsidR="007D2364" w:rsidRDefault="000677DC" w:rsidP="00A62721">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t xml:space="preserve">Experiential </w:t>
      </w:r>
      <w:r w:rsidR="00261C1B">
        <w:t xml:space="preserve">Learning &amp; </w:t>
      </w:r>
      <w:r>
        <w:t>Leadership Academy</w:t>
      </w:r>
    </w:p>
    <w:p w14:paraId="02B64539" w14:textId="253B6C7C" w:rsidR="000677DC" w:rsidRDefault="0060416E" w:rsidP="00A62721">
      <w:pPr>
        <w:pStyle w:val="Heading1"/>
        <w:spacing w:line="240" w:lineRule="auto"/>
        <w:jc w:val="center"/>
      </w:pPr>
      <w:r>
        <w:t>Development Opportunity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525F6B63" w14:textId="724C4756" w:rsidR="00D32B28" w:rsidRPr="0027511D" w:rsidRDefault="0060416E" w:rsidP="000677DC">
            <w:pPr>
              <w:rPr>
                <w:b/>
                <w:bCs/>
                <w:color w:val="002060"/>
              </w:rPr>
            </w:pPr>
            <w:r>
              <w:rPr>
                <w:b/>
                <w:bCs/>
                <w:color w:val="002060"/>
              </w:rPr>
              <w:t>Level</w:t>
            </w:r>
          </w:p>
          <w:p w14:paraId="46941B50" w14:textId="00450137" w:rsidR="00D32B28" w:rsidRPr="0027511D" w:rsidRDefault="0035384C" w:rsidP="000677DC">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177984">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15081B7F" w14:textId="73599C76" w:rsidR="00B05497" w:rsidRPr="0027511D" w:rsidRDefault="00177984" w:rsidP="000677DC">
            <w:r>
              <w:t>Clinical Research Nurse Leadership Team Development Session</w:t>
            </w: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4648C626" w14:textId="4FD44A96" w:rsidR="00B05497" w:rsidRPr="0027511D" w:rsidRDefault="00177984" w:rsidP="000677DC">
            <w:r>
              <w:t>Usher Institute, Bioquarter</w:t>
            </w: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066BB733" w14:textId="77777777" w:rsidR="00261C1B" w:rsidRDefault="00261C1B" w:rsidP="000677DC">
            <w:pPr>
              <w:rPr>
                <w:b/>
                <w:bCs/>
                <w:color w:val="002060"/>
              </w:rPr>
            </w:pPr>
          </w:p>
          <w:p w14:paraId="18611283" w14:textId="53285F31" w:rsidR="00261C1B" w:rsidRDefault="00261C1B" w:rsidP="000677DC">
            <w:pPr>
              <w:rPr>
                <w:b/>
                <w:bCs/>
                <w:color w:val="002060"/>
              </w:rPr>
            </w:pPr>
            <w:r>
              <w:rPr>
                <w:b/>
                <w:bCs/>
                <w:color w:val="002060"/>
              </w:rPr>
              <w:t>Name</w:t>
            </w:r>
            <w:r w:rsidR="00177984">
              <w:rPr>
                <w:b/>
                <w:bCs/>
                <w:color w:val="002060"/>
              </w:rPr>
              <w:t>: Juliet MacArthur</w:t>
            </w:r>
          </w:p>
          <w:p w14:paraId="720018C2" w14:textId="125CFF11" w:rsidR="00B05497" w:rsidRDefault="00261C1B" w:rsidP="000677DC">
            <w:pPr>
              <w:rPr>
                <w:b/>
                <w:bCs/>
                <w:color w:val="002060"/>
              </w:rPr>
            </w:pPr>
            <w:r>
              <w:rPr>
                <w:b/>
                <w:bCs/>
                <w:color w:val="002060"/>
              </w:rPr>
              <w:t>Role</w:t>
            </w:r>
            <w:r w:rsidR="00177984">
              <w:rPr>
                <w:b/>
                <w:bCs/>
                <w:color w:val="002060"/>
              </w:rPr>
              <w:t>: Chief Nurse Research &amp; Development</w:t>
            </w:r>
            <w:r w:rsidR="0060416E">
              <w:rPr>
                <w:b/>
                <w:bCs/>
                <w:color w:val="002060"/>
              </w:rPr>
              <w:t xml:space="preserve">                                                                              </w:t>
            </w:r>
          </w:p>
          <w:p w14:paraId="227B8902" w14:textId="4AF2914D" w:rsidR="0060416E" w:rsidRDefault="0060416E" w:rsidP="000677DC">
            <w:pPr>
              <w:rPr>
                <w:b/>
                <w:bCs/>
                <w:color w:val="002060"/>
              </w:rPr>
            </w:pPr>
            <w:r>
              <w:rPr>
                <w:b/>
                <w:bCs/>
                <w:color w:val="002060"/>
              </w:rPr>
              <w:t>Email</w:t>
            </w:r>
            <w:r w:rsidR="00177984">
              <w:rPr>
                <w:b/>
                <w:bCs/>
                <w:color w:val="002060"/>
              </w:rPr>
              <w:t xml:space="preserve">: </w:t>
            </w:r>
            <w:hyperlink r:id="rId9" w:history="1">
              <w:r w:rsidR="00177984" w:rsidRPr="00897FB7">
                <w:rPr>
                  <w:rStyle w:val="Hyperlink"/>
                  <w:b/>
                  <w:bCs/>
                </w:rPr>
                <w:t>Juliet.macarthur@nhs.scot</w:t>
              </w:r>
            </w:hyperlink>
            <w:r w:rsidR="00177984">
              <w:rPr>
                <w:b/>
                <w:bCs/>
                <w:color w:val="002060"/>
              </w:rPr>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5EA3697C" w14:textId="1E3E2FBD" w:rsidR="0060416E" w:rsidRPr="0027511D" w:rsidRDefault="00177984" w:rsidP="000677DC">
            <w:r>
              <w:t>Join one of the quarterly Clinical Research Nurse Leadership Team Development Sessions to gain an understanding of how that team functions and how decisions relating to statutory responsibilities, governance and development of the clinical research delivery function are made.</w:t>
            </w: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0CDAA1F1" w14:textId="52BA37EE" w:rsidR="00D32B28" w:rsidRPr="00D32B28" w:rsidRDefault="0027511D" w:rsidP="000677DC">
            <w:r>
              <w:t>This is a 3-4 hour meeting that involves Chief Nurse Research &amp; Development and the 4 Clinical Research Nurse Managers that come under her line management (RIE, WGH and EMERGE), the Deputy Clinical Research Nurse Managers (RIE &amp; WGH) and the Research Project Officer.  It involves a team development activity and then review of different work streams that members of the team are leading.  The focus is on discussion and collaboration to inform the delivery of the Clinical Research Strategic Plan and ensure that we undertake our statutory responsibilities around safe staffing and risk and resilience.</w:t>
            </w:r>
          </w:p>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5A5A745F" w:rsidR="005845DE" w:rsidRDefault="0027511D" w:rsidP="0044336C">
            <w:pPr>
              <w:pStyle w:val="ListParagraph"/>
              <w:numPr>
                <w:ilvl w:val="0"/>
                <w:numId w:val="2"/>
              </w:numPr>
            </w:pPr>
            <w:r>
              <w:t>Attend a pre-meeting discussion to review the agenda and papers and learning objectives</w:t>
            </w:r>
          </w:p>
          <w:p w14:paraId="40C6DEDF" w14:textId="2DDEE860" w:rsidR="0027511D" w:rsidRDefault="0027511D" w:rsidP="0044336C">
            <w:pPr>
              <w:pStyle w:val="ListParagraph"/>
              <w:numPr>
                <w:ilvl w:val="0"/>
                <w:numId w:val="2"/>
              </w:numPr>
            </w:pPr>
            <w:r>
              <w:t>Participate in the meeting – including the team development activity and being invited to contribute to the discussion</w:t>
            </w:r>
          </w:p>
          <w:p w14:paraId="5D60312B" w14:textId="1C2D7D75" w:rsidR="00B05497" w:rsidRPr="0027511D" w:rsidRDefault="0027511D" w:rsidP="000677DC">
            <w:pPr>
              <w:pStyle w:val="ListParagraph"/>
              <w:numPr>
                <w:ilvl w:val="0"/>
                <w:numId w:val="2"/>
              </w:numPr>
            </w:pPr>
            <w:r>
              <w:t>Attend a post-meeting reflection session to discuss experience, learning and implications for own role</w:t>
            </w:r>
          </w:p>
        </w:tc>
      </w:tr>
      <w:tr w:rsidR="00B05497" w14:paraId="45CA9B08" w14:textId="77777777" w:rsidTr="00B05497">
        <w:tc>
          <w:tcPr>
            <w:tcW w:w="9782" w:type="dxa"/>
          </w:tcPr>
          <w:p w14:paraId="05D8CA42" w14:textId="1832AAC1" w:rsidR="0027511D" w:rsidRDefault="00B05497" w:rsidP="000677DC">
            <w:pPr>
              <w:rPr>
                <w:b/>
                <w:bCs/>
                <w:color w:val="002060"/>
              </w:rPr>
            </w:pPr>
            <w:r>
              <w:rPr>
                <w:b/>
                <w:bCs/>
                <w:color w:val="002060"/>
              </w:rPr>
              <w:t>Expected Learning / Outcomes</w:t>
            </w:r>
          </w:p>
          <w:p w14:paraId="26A6FDCB" w14:textId="7A52A824" w:rsidR="0027511D" w:rsidRDefault="0027511D" w:rsidP="000677DC">
            <w:pPr>
              <w:rPr>
                <w:b/>
                <w:bCs/>
                <w:color w:val="002060"/>
              </w:rPr>
            </w:pPr>
            <w:r>
              <w:rPr>
                <w:b/>
                <w:bCs/>
                <w:color w:val="002060"/>
              </w:rPr>
              <w:t>Develop knowledge and understanding of:</w:t>
            </w:r>
          </w:p>
          <w:p w14:paraId="4764DB94" w14:textId="15A0A922" w:rsidR="0027511D" w:rsidRDefault="0027511D" w:rsidP="0044336C">
            <w:pPr>
              <w:pStyle w:val="ListParagraph"/>
              <w:numPr>
                <w:ilvl w:val="0"/>
                <w:numId w:val="2"/>
              </w:numPr>
              <w:rPr>
                <w:color w:val="002060"/>
              </w:rPr>
            </w:pPr>
            <w:r>
              <w:rPr>
                <w:color w:val="002060"/>
              </w:rPr>
              <w:t>teamworking and collaboration at a leadership level</w:t>
            </w:r>
          </w:p>
          <w:p w14:paraId="1DFE3CDB" w14:textId="144F75BF" w:rsidR="0027511D" w:rsidRDefault="0027511D" w:rsidP="0044336C">
            <w:pPr>
              <w:pStyle w:val="ListParagraph"/>
              <w:numPr>
                <w:ilvl w:val="0"/>
                <w:numId w:val="2"/>
              </w:numPr>
              <w:rPr>
                <w:color w:val="002060"/>
              </w:rPr>
            </w:pPr>
            <w:r>
              <w:rPr>
                <w:color w:val="002060"/>
              </w:rPr>
              <w:t>the role of clinical research leaders in developing and implementing the objectives of the Clinical Research Strategic Plan</w:t>
            </w:r>
          </w:p>
          <w:p w14:paraId="5B652BDB" w14:textId="7BB20E4F" w:rsidR="0027511D" w:rsidRDefault="0027511D" w:rsidP="0044336C">
            <w:pPr>
              <w:pStyle w:val="ListParagraph"/>
              <w:numPr>
                <w:ilvl w:val="0"/>
                <w:numId w:val="2"/>
              </w:numPr>
              <w:rPr>
                <w:color w:val="002060"/>
              </w:rPr>
            </w:pPr>
            <w:r>
              <w:rPr>
                <w:color w:val="002060"/>
              </w:rPr>
              <w:t>key statutory responsibilities such as Safe Staffing, Risk Register and Governance</w:t>
            </w:r>
          </w:p>
          <w:p w14:paraId="74F18745" w14:textId="2C84DDFD" w:rsidR="00B05497" w:rsidRPr="0027511D" w:rsidRDefault="0027511D" w:rsidP="0027511D">
            <w:pPr>
              <w:pStyle w:val="ListParagraph"/>
              <w:numPr>
                <w:ilvl w:val="0"/>
                <w:numId w:val="2"/>
              </w:numPr>
              <w:rPr>
                <w:color w:val="002060"/>
              </w:rPr>
            </w:pPr>
            <w:r>
              <w:rPr>
                <w:color w:val="002060"/>
              </w:rPr>
              <w:t>elements of the Research Management Toolkit and how the leaders address issues around finance and analytics</w:t>
            </w:r>
          </w:p>
          <w:p w14:paraId="36431007" w14:textId="6FD5D158" w:rsidR="00B05497" w:rsidRDefault="00B05497" w:rsidP="000677DC">
            <w:pPr>
              <w:rPr>
                <w:b/>
                <w:bCs/>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34C0C58C" w14:textId="43FC8D78" w:rsidR="003E043A" w:rsidRPr="0044336C" w:rsidRDefault="0027511D" w:rsidP="000677DC">
            <w:r>
              <w:t>Lead Research Nurses in any of the clinical research teams in NHS Lothian and University of Edinburgh</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3BF278F" w14:textId="77777777" w:rsidR="003E043A" w:rsidRDefault="003E043A" w:rsidP="000677DC"/>
          <w:p w14:paraId="314120B0" w14:textId="3E219E1B" w:rsidR="00D32B28" w:rsidRPr="00D32B28" w:rsidRDefault="0035384C" w:rsidP="000677DC">
            <w:r>
              <w:t>TBC for 2026</w:t>
            </w:r>
          </w:p>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lastRenderedPageBreak/>
              <w:t>How to apply / arrange</w:t>
            </w:r>
          </w:p>
          <w:p w14:paraId="3A5E4207" w14:textId="77777777" w:rsidR="0060416E" w:rsidRDefault="0060416E" w:rsidP="000677DC">
            <w:pPr>
              <w:rPr>
                <w:b/>
                <w:bCs/>
                <w:color w:val="002060"/>
              </w:rPr>
            </w:pPr>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77984"/>
    <w:rsid w:val="001C62E0"/>
    <w:rsid w:val="001E565D"/>
    <w:rsid w:val="001F54C2"/>
    <w:rsid w:val="00261C1B"/>
    <w:rsid w:val="0027511D"/>
    <w:rsid w:val="0035384C"/>
    <w:rsid w:val="003E043A"/>
    <w:rsid w:val="0044336C"/>
    <w:rsid w:val="005845DE"/>
    <w:rsid w:val="00587A54"/>
    <w:rsid w:val="005B425B"/>
    <w:rsid w:val="0060416E"/>
    <w:rsid w:val="00624659"/>
    <w:rsid w:val="00720BC6"/>
    <w:rsid w:val="007D2364"/>
    <w:rsid w:val="008E484F"/>
    <w:rsid w:val="00957A9D"/>
    <w:rsid w:val="00A62721"/>
    <w:rsid w:val="00B05497"/>
    <w:rsid w:val="00C40665"/>
    <w:rsid w:val="00D3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177984"/>
    <w:rPr>
      <w:color w:val="0563C1" w:themeColor="hyperlink"/>
      <w:u w:val="single"/>
    </w:rPr>
  </w:style>
  <w:style w:type="character" w:styleId="UnresolvedMention">
    <w:name w:val="Unresolved Mention"/>
    <w:basedOn w:val="DefaultParagraphFont"/>
    <w:uiPriority w:val="99"/>
    <w:semiHidden/>
    <w:unhideWhenUsed/>
    <w:rsid w:val="0017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liet.macarthur@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4</cp:revision>
  <dcterms:created xsi:type="dcterms:W3CDTF">2025-10-14T15:17:00Z</dcterms:created>
  <dcterms:modified xsi:type="dcterms:W3CDTF">2025-10-14T15:29:00Z</dcterms:modified>
</cp:coreProperties>
</file>