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42EB772" w14:textId="0C032FD0" w:rsidR="0060416E" w:rsidRPr="0044336C" w:rsidRDefault="00004B8A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20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0B70EB9C" w14:textId="58F507EE" w:rsidR="0044336C" w:rsidRPr="00ED1E67" w:rsidRDefault="00F601B0" w:rsidP="000677DC">
            <w:pPr>
              <w:rPr>
                <w:b/>
                <w:bCs/>
                <w:sz w:val="28"/>
                <w:szCs w:val="28"/>
              </w:rPr>
            </w:pPr>
            <w:r w:rsidRPr="00ED1E67">
              <w:rPr>
                <w:b/>
                <w:bCs/>
                <w:sz w:val="28"/>
                <w:szCs w:val="28"/>
              </w:rPr>
              <w:t xml:space="preserve">Shadow at the Frailty Programme Board meeting </w:t>
            </w:r>
          </w:p>
          <w:p w14:paraId="15081B7F" w14:textId="07B4A33D" w:rsidR="00B05497" w:rsidRPr="003E043A" w:rsidRDefault="00B05497" w:rsidP="000677DC">
            <w:pPr>
              <w:rPr>
                <w:b/>
                <w:bCs/>
              </w:rPr>
            </w:pP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4648C626" w14:textId="4014C00D" w:rsidR="00B05497" w:rsidRPr="00ED1E67" w:rsidRDefault="00852D20" w:rsidP="000677DC">
            <w:r>
              <w:t>Teams Channel virtual meeting</w:t>
            </w: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16F76958" w:rsidR="00B05497" w:rsidRPr="00ED1E67" w:rsidRDefault="00F601B0" w:rsidP="000677DC">
            <w:r>
              <w:t>Victoria Mulholland</w:t>
            </w:r>
            <w:r w:rsidR="0060416E">
              <w:rPr>
                <w:b/>
                <w:bCs/>
                <w:color w:val="002060"/>
              </w:rPr>
              <w:t xml:space="preserve">                                                          </w:t>
            </w:r>
          </w:p>
          <w:p w14:paraId="227B8902" w14:textId="08C2B421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5A4C6112" w14:textId="381737D0" w:rsidR="0060416E" w:rsidRPr="0044336C" w:rsidRDefault="00ED1E67" w:rsidP="000677DC">
            <w:hyperlink r:id="rId9" w:history="1">
              <w:r w:rsidRPr="00BF1F8E">
                <w:rPr>
                  <w:rStyle w:val="Hyperlink"/>
                </w:rPr>
                <w:t>Victoria.mulholland@nhs.scot</w:t>
              </w:r>
            </w:hyperlink>
            <w:r>
              <w:t xml:space="preserve"> </w:t>
            </w:r>
          </w:p>
          <w:p w14:paraId="2873CACE" w14:textId="08186574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5EA3697C" w14:textId="573C5E33" w:rsidR="0060416E" w:rsidRPr="00ED1E67" w:rsidRDefault="00F601B0" w:rsidP="000677DC">
            <w:r>
              <w:t xml:space="preserve">1.5 hr meeting plus 30 mins 1:1 debrief with me after to discuss meeting, learning, points of note etc. </w:t>
            </w: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6E37D8A0" w14:textId="18164B2D" w:rsidR="005845DE" w:rsidRPr="0044336C" w:rsidRDefault="00F601B0" w:rsidP="000677DC">
            <w:r>
              <w:t xml:space="preserve">Opportunity to observe a programme board level meeting on Frailty, across the system. Hearing from various leads on work underway and the collaboration between services to improve the frailty provision </w:t>
            </w:r>
            <w:r w:rsidR="00ED1E67">
              <w:t>o</w:t>
            </w:r>
            <w:r>
              <w:t xml:space="preserve">f care and pathways for NHS Lothian frail patients. </w:t>
            </w:r>
          </w:p>
          <w:p w14:paraId="0CDAA1F1" w14:textId="17A9FC51" w:rsidR="00D32B28" w:rsidRPr="00D32B28" w:rsidRDefault="00D32B28" w:rsidP="000677DC"/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13DEFE48" w14:textId="6A40C041" w:rsidR="005845DE" w:rsidRDefault="00F601B0" w:rsidP="0044336C">
            <w:pPr>
              <w:pStyle w:val="ListParagraph"/>
              <w:numPr>
                <w:ilvl w:val="0"/>
                <w:numId w:val="2"/>
              </w:numPr>
            </w:pPr>
            <w:r>
              <w:t xml:space="preserve">To learn about frailty from a strategic </w:t>
            </w:r>
            <w:r w:rsidR="005017A3">
              <w:t>level</w:t>
            </w:r>
            <w:r>
              <w:t>, and how this feeds down through the systems</w:t>
            </w:r>
          </w:p>
          <w:p w14:paraId="10BA8CA3" w14:textId="33357994" w:rsidR="00F601B0" w:rsidRDefault="00F601B0" w:rsidP="0044336C">
            <w:pPr>
              <w:pStyle w:val="ListParagraph"/>
              <w:numPr>
                <w:ilvl w:val="0"/>
                <w:numId w:val="2"/>
              </w:numPr>
            </w:pPr>
            <w:r>
              <w:t>Ho</w:t>
            </w:r>
            <w:r w:rsidR="005017A3">
              <w:t>w</w:t>
            </w:r>
            <w:r>
              <w:t xml:space="preserve"> change happens from a different level</w:t>
            </w:r>
          </w:p>
          <w:p w14:paraId="2E9FA719" w14:textId="5CF22E0F" w:rsidR="005017A3" w:rsidRDefault="005017A3" w:rsidP="0044336C">
            <w:pPr>
              <w:pStyle w:val="ListParagraph"/>
              <w:numPr>
                <w:ilvl w:val="0"/>
                <w:numId w:val="2"/>
              </w:numPr>
            </w:pPr>
            <w:r>
              <w:t>Experience a meeting at programme board level.</w:t>
            </w:r>
          </w:p>
          <w:p w14:paraId="48A6FF8D" w14:textId="5FB52738" w:rsidR="005017A3" w:rsidRPr="0044336C" w:rsidRDefault="005017A3" w:rsidP="0044336C">
            <w:pPr>
              <w:pStyle w:val="ListParagraph"/>
              <w:numPr>
                <w:ilvl w:val="0"/>
                <w:numId w:val="2"/>
              </w:numPr>
            </w:pPr>
            <w:r>
              <w:t>Exposure to whole system thinking</w:t>
            </w:r>
          </w:p>
          <w:p w14:paraId="5D60312B" w14:textId="3EE43675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22ECCE5B" w14:textId="41EF4134" w:rsidR="00F601B0" w:rsidRPr="00ED1E67" w:rsidRDefault="00F601B0" w:rsidP="0044336C">
            <w:pPr>
              <w:pStyle w:val="ListParagraph"/>
              <w:numPr>
                <w:ilvl w:val="0"/>
                <w:numId w:val="2"/>
              </w:numPr>
            </w:pPr>
            <w:r w:rsidRPr="00ED1E67">
              <w:t>Understand</w:t>
            </w:r>
            <w:r w:rsidR="005017A3" w:rsidRPr="00ED1E67">
              <w:t xml:space="preserve"> a </w:t>
            </w:r>
            <w:r w:rsidRPr="00ED1E67">
              <w:t>programme board</w:t>
            </w:r>
            <w:r w:rsidR="005017A3" w:rsidRPr="00ED1E67">
              <w:t>s</w:t>
            </w:r>
            <w:r w:rsidRPr="00ED1E67">
              <w:t>:</w:t>
            </w:r>
          </w:p>
          <w:p w14:paraId="1D187A78" w14:textId="57656BAA" w:rsidR="00B05497" w:rsidRPr="00ED1E67" w:rsidRDefault="00F601B0" w:rsidP="00F601B0">
            <w:pPr>
              <w:pStyle w:val="ListParagraph"/>
              <w:numPr>
                <w:ilvl w:val="1"/>
                <w:numId w:val="2"/>
              </w:numPr>
            </w:pPr>
            <w:r w:rsidRPr="00ED1E67">
              <w:t>Membership</w:t>
            </w:r>
          </w:p>
          <w:p w14:paraId="5F9B7151" w14:textId="038FBEBE" w:rsidR="00F601B0" w:rsidRPr="00ED1E67" w:rsidRDefault="00F601B0" w:rsidP="00F601B0">
            <w:pPr>
              <w:pStyle w:val="ListParagraph"/>
              <w:numPr>
                <w:ilvl w:val="1"/>
                <w:numId w:val="2"/>
              </w:numPr>
            </w:pPr>
            <w:r w:rsidRPr="00ED1E67">
              <w:t>Function</w:t>
            </w:r>
          </w:p>
          <w:p w14:paraId="318E2F63" w14:textId="1B895E34" w:rsidR="00F601B0" w:rsidRPr="00ED1E67" w:rsidRDefault="00F601B0" w:rsidP="00F601B0">
            <w:pPr>
              <w:pStyle w:val="ListParagraph"/>
              <w:numPr>
                <w:ilvl w:val="1"/>
                <w:numId w:val="2"/>
              </w:numPr>
            </w:pPr>
            <w:r w:rsidRPr="00ED1E67">
              <w:t>Aims</w:t>
            </w:r>
          </w:p>
          <w:p w14:paraId="2B1C324F" w14:textId="526A69B0" w:rsidR="00F601B0" w:rsidRPr="00ED1E67" w:rsidRDefault="00F601B0" w:rsidP="00F601B0">
            <w:pPr>
              <w:pStyle w:val="ListParagraph"/>
              <w:numPr>
                <w:ilvl w:val="1"/>
                <w:numId w:val="2"/>
              </w:numPr>
            </w:pPr>
            <w:r w:rsidRPr="00ED1E67">
              <w:t>Workstreams</w:t>
            </w:r>
          </w:p>
          <w:p w14:paraId="5F7D521D" w14:textId="039AF089" w:rsidR="00F601B0" w:rsidRPr="00ED1E67" w:rsidRDefault="005017A3" w:rsidP="0044336C">
            <w:pPr>
              <w:pStyle w:val="ListParagraph"/>
              <w:numPr>
                <w:ilvl w:val="0"/>
                <w:numId w:val="2"/>
              </w:numPr>
            </w:pPr>
            <w:r w:rsidRPr="00ED1E67">
              <w:t xml:space="preserve">Understand more about </w:t>
            </w:r>
            <w:r w:rsidR="00F601B0" w:rsidRPr="00ED1E67">
              <w:t>Frailty across the NHS Lothian system</w:t>
            </w:r>
          </w:p>
          <w:p w14:paraId="36431007" w14:textId="6FD5D158" w:rsidR="00B05497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34C0C58C" w14:textId="508464FA" w:rsidR="003E043A" w:rsidRPr="0044336C" w:rsidRDefault="005017A3" w:rsidP="000677DC">
            <w:r>
              <w:t>People working in MOE/ ANPs/ CNM/ SCN</w:t>
            </w:r>
          </w:p>
          <w:p w14:paraId="745F3C9F" w14:textId="065ABBC2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314120B0" w14:textId="4B3E2CAC" w:rsidR="00D32B28" w:rsidRPr="00D32B28" w:rsidRDefault="005017A3" w:rsidP="000677DC">
            <w:r>
              <w:t>- 19</w:t>
            </w:r>
            <w:r w:rsidRPr="00F601B0">
              <w:rPr>
                <w:vertAlign w:val="superscript"/>
              </w:rPr>
              <w:t>th</w:t>
            </w:r>
            <w:r>
              <w:t xml:space="preserve"> August/ 28</w:t>
            </w:r>
            <w:r w:rsidRPr="00F601B0">
              <w:rPr>
                <w:vertAlign w:val="superscript"/>
              </w:rPr>
              <w:t>th</w:t>
            </w:r>
            <w:r>
              <w:t xml:space="preserve"> October/ 17</w:t>
            </w:r>
            <w:r w:rsidRPr="00F601B0">
              <w:rPr>
                <w:vertAlign w:val="superscript"/>
              </w:rPr>
              <w:t>th</w:t>
            </w:r>
            <w:r>
              <w:t xml:space="preserve"> December 14:30-16:00</w:t>
            </w:r>
          </w:p>
        </w:tc>
      </w:tr>
      <w:tr w:rsidR="0060416E" w14:paraId="187A840F" w14:textId="77777777" w:rsidTr="00B05497">
        <w:tc>
          <w:tcPr>
            <w:tcW w:w="9782" w:type="dxa"/>
          </w:tcPr>
          <w:p w14:paraId="3A5E4207" w14:textId="2C9124C5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6A1DE8D8" w14:textId="430CF11F" w:rsidR="0060416E" w:rsidRDefault="005017A3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Contact </w:t>
            </w:r>
            <w:hyperlink r:id="rId10" w:history="1">
              <w:r w:rsidR="00ED1E67" w:rsidRPr="00ED1E67">
                <w:rPr>
                  <w:rStyle w:val="Hyperlink"/>
                </w:rPr>
                <w:t>Victoria.mulholland@nhs.scot</w:t>
              </w:r>
            </w:hyperlink>
            <w:r w:rsidR="00ED1E67">
              <w:rPr>
                <w:b/>
                <w:bCs/>
                <w:color w:val="002060"/>
              </w:rPr>
              <w:t xml:space="preserve"> </w:t>
            </w: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1"/>
  </w:num>
  <w:num w:numId="2" w16cid:durableId="21175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04B8A"/>
    <w:rsid w:val="000677DC"/>
    <w:rsid w:val="00123BC2"/>
    <w:rsid w:val="001C62E0"/>
    <w:rsid w:val="001E565D"/>
    <w:rsid w:val="001F54C2"/>
    <w:rsid w:val="003E043A"/>
    <w:rsid w:val="0044336C"/>
    <w:rsid w:val="00490693"/>
    <w:rsid w:val="005017A3"/>
    <w:rsid w:val="005845DE"/>
    <w:rsid w:val="00587A54"/>
    <w:rsid w:val="005B425B"/>
    <w:rsid w:val="0060416E"/>
    <w:rsid w:val="00720BC6"/>
    <w:rsid w:val="007D2364"/>
    <w:rsid w:val="00852D20"/>
    <w:rsid w:val="008E774D"/>
    <w:rsid w:val="00957A9D"/>
    <w:rsid w:val="009870F8"/>
    <w:rsid w:val="00A62721"/>
    <w:rsid w:val="00B05497"/>
    <w:rsid w:val="00C40665"/>
    <w:rsid w:val="00D32B28"/>
    <w:rsid w:val="00ED1E67"/>
    <w:rsid w:val="00F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ctoria.mulholland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ia.mulholland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2</cp:revision>
  <dcterms:created xsi:type="dcterms:W3CDTF">2025-08-05T14:54:00Z</dcterms:created>
  <dcterms:modified xsi:type="dcterms:W3CDTF">2025-08-05T14:54:00Z</dcterms:modified>
</cp:coreProperties>
</file>