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7F48" w14:textId="77777777" w:rsidR="00A54FFA" w:rsidRPr="00A8642D" w:rsidRDefault="00000000">
      <w:pPr>
        <w:pStyle w:val="Heading2"/>
        <w:spacing w:before="27"/>
        <w:rPr>
          <w:sz w:val="24"/>
          <w:szCs w:val="24"/>
        </w:rPr>
      </w:pPr>
      <w:r w:rsidRPr="00A8642D">
        <w:rPr>
          <w:b w:val="0"/>
          <w:bCs w:val="0"/>
          <w:sz w:val="24"/>
          <w:szCs w:val="24"/>
          <w:lang w:val="es"/>
        </w:rPr>
        <w:t>Mi cita para la inducción del parto:</w:t>
      </w:r>
    </w:p>
    <w:p w14:paraId="72DDE02B" w14:textId="77777777" w:rsidR="00A54FFA" w:rsidRPr="00A8642D" w:rsidRDefault="00000000">
      <w:pPr>
        <w:tabs>
          <w:tab w:val="left" w:pos="3525"/>
          <w:tab w:val="left" w:pos="3876"/>
          <w:tab w:val="left" w:pos="7014"/>
        </w:tabs>
        <w:spacing w:before="120"/>
        <w:ind w:left="480"/>
        <w:rPr>
          <w:rFonts w:ascii="Times New Roman"/>
          <w:sz w:val="24"/>
          <w:szCs w:val="20"/>
        </w:rPr>
      </w:pPr>
      <w:r w:rsidRPr="00A8642D">
        <w:rPr>
          <w:sz w:val="24"/>
          <w:szCs w:val="20"/>
          <w:lang w:val="es"/>
        </w:rPr>
        <w:t>Fecha:</w:t>
      </w:r>
      <w:r w:rsidRPr="00A8642D">
        <w:rPr>
          <w:sz w:val="24"/>
          <w:szCs w:val="20"/>
          <w:lang w:val="es"/>
        </w:rPr>
        <w:tab/>
      </w:r>
      <w:r w:rsidRPr="00A8642D">
        <w:rPr>
          <w:sz w:val="24"/>
          <w:szCs w:val="20"/>
          <w:lang w:val="es"/>
        </w:rPr>
        <w:tab/>
        <w:t xml:space="preserve">Hora: </w:t>
      </w:r>
      <w:r w:rsidRPr="00A8642D">
        <w:rPr>
          <w:sz w:val="24"/>
          <w:szCs w:val="20"/>
          <w:lang w:val="es"/>
        </w:rPr>
        <w:tab/>
      </w:r>
    </w:p>
    <w:p w14:paraId="44EDCADB" w14:textId="77777777" w:rsidR="00A54FFA" w:rsidRPr="00A8642D" w:rsidRDefault="00A54FFA">
      <w:pPr>
        <w:pStyle w:val="BodyText"/>
        <w:spacing w:before="260"/>
        <w:jc w:val="left"/>
        <w:rPr>
          <w:rFonts w:ascii="Times New Roman"/>
          <w:szCs w:val="22"/>
        </w:rPr>
      </w:pPr>
    </w:p>
    <w:p w14:paraId="718C0980" w14:textId="77777777" w:rsidR="00A54FFA" w:rsidRPr="00A8642D" w:rsidRDefault="00000000">
      <w:pPr>
        <w:tabs>
          <w:tab w:val="left" w:pos="7735"/>
        </w:tabs>
        <w:ind w:left="480"/>
        <w:rPr>
          <w:rFonts w:ascii="Times New Roman"/>
          <w:sz w:val="24"/>
          <w:szCs w:val="20"/>
        </w:rPr>
      </w:pPr>
      <w:r w:rsidRPr="00A8642D">
        <w:rPr>
          <w:sz w:val="24"/>
          <w:szCs w:val="20"/>
          <w:lang w:val="es"/>
        </w:rPr>
        <w:t xml:space="preserve">Lugar: </w:t>
      </w:r>
      <w:r w:rsidRPr="00A8642D">
        <w:rPr>
          <w:sz w:val="24"/>
          <w:szCs w:val="20"/>
          <w:lang w:val="es"/>
        </w:rPr>
        <w:tab/>
      </w:r>
    </w:p>
    <w:p w14:paraId="24555A74" w14:textId="77777777" w:rsidR="00A54FFA" w:rsidRPr="00A8642D" w:rsidRDefault="00A54FFA">
      <w:pPr>
        <w:pStyle w:val="BodyText"/>
        <w:spacing w:before="140"/>
        <w:jc w:val="left"/>
        <w:rPr>
          <w:rFonts w:ascii="Times New Roman"/>
          <w:szCs w:val="22"/>
        </w:rPr>
      </w:pPr>
    </w:p>
    <w:p w14:paraId="797BDDCB" w14:textId="77777777" w:rsidR="00A54FFA" w:rsidRPr="00A8642D" w:rsidRDefault="00000000">
      <w:pPr>
        <w:tabs>
          <w:tab w:val="left" w:pos="1675"/>
          <w:tab w:val="left" w:pos="7735"/>
        </w:tabs>
        <w:ind w:left="480"/>
        <w:rPr>
          <w:rFonts w:ascii="Times New Roman"/>
          <w:sz w:val="24"/>
          <w:szCs w:val="20"/>
        </w:rPr>
      </w:pPr>
      <w:r w:rsidRPr="00A8642D">
        <w:rPr>
          <w:sz w:val="24"/>
          <w:szCs w:val="20"/>
          <w:lang w:val="es"/>
        </w:rPr>
        <w:t>Contacto:</w:t>
      </w:r>
      <w:r w:rsidRPr="00A8642D">
        <w:rPr>
          <w:sz w:val="24"/>
          <w:szCs w:val="20"/>
          <w:lang w:val="es"/>
        </w:rPr>
        <w:tab/>
      </w:r>
      <w:r w:rsidRPr="00A8642D">
        <w:rPr>
          <w:sz w:val="24"/>
          <w:szCs w:val="20"/>
          <w:lang w:val="es"/>
        </w:rPr>
        <w:tab/>
      </w:r>
    </w:p>
    <w:p w14:paraId="1FF8A3CB" w14:textId="77777777" w:rsidR="00A54FFA" w:rsidRPr="00A8642D" w:rsidRDefault="00A54FFA">
      <w:pPr>
        <w:pStyle w:val="BodyText"/>
        <w:spacing w:before="260"/>
        <w:jc w:val="left"/>
        <w:rPr>
          <w:rFonts w:ascii="Times New Roman"/>
          <w:szCs w:val="22"/>
        </w:rPr>
      </w:pPr>
    </w:p>
    <w:p w14:paraId="20B05DB8" w14:textId="77777777" w:rsidR="00A54FFA" w:rsidRPr="00A8642D" w:rsidRDefault="00000000">
      <w:pPr>
        <w:tabs>
          <w:tab w:val="left" w:pos="3532"/>
          <w:tab w:val="left" w:pos="7785"/>
        </w:tabs>
        <w:spacing w:before="1"/>
        <w:ind w:left="480"/>
        <w:rPr>
          <w:rFonts w:ascii="Times New Roman"/>
          <w:sz w:val="24"/>
          <w:szCs w:val="20"/>
        </w:rPr>
      </w:pPr>
      <w:r w:rsidRPr="00A8642D">
        <w:rPr>
          <w:sz w:val="24"/>
          <w:szCs w:val="20"/>
          <w:lang w:val="es"/>
        </w:rPr>
        <w:t>Volver a llamar a esta hora:</w:t>
      </w:r>
      <w:r w:rsidRPr="00A8642D">
        <w:rPr>
          <w:sz w:val="24"/>
          <w:szCs w:val="20"/>
          <w:lang w:val="es"/>
        </w:rPr>
        <w:tab/>
      </w:r>
      <w:r w:rsidRPr="00A8642D">
        <w:rPr>
          <w:sz w:val="24"/>
          <w:szCs w:val="20"/>
          <w:lang w:val="es"/>
        </w:rPr>
        <w:tab/>
      </w:r>
    </w:p>
    <w:p w14:paraId="29080D73" w14:textId="77777777" w:rsidR="00A54FFA" w:rsidRPr="00A8642D" w:rsidRDefault="00A54FFA">
      <w:pPr>
        <w:pStyle w:val="BodyText"/>
        <w:spacing w:before="277"/>
        <w:jc w:val="left"/>
        <w:rPr>
          <w:rFonts w:ascii="Times New Roman"/>
          <w:szCs w:val="22"/>
        </w:rPr>
      </w:pPr>
    </w:p>
    <w:p w14:paraId="34F8B1B2" w14:textId="77777777" w:rsidR="00A54FFA" w:rsidRPr="00A8642D" w:rsidRDefault="00000000">
      <w:pPr>
        <w:pStyle w:val="Heading2"/>
        <w:rPr>
          <w:sz w:val="24"/>
          <w:szCs w:val="24"/>
        </w:rPr>
      </w:pPr>
      <w:r w:rsidRPr="00A8642D">
        <w:rPr>
          <w:b w:val="0"/>
          <w:bCs w:val="0"/>
          <w:sz w:val="24"/>
          <w:szCs w:val="24"/>
          <w:lang w:val="es"/>
        </w:rPr>
        <w:t>Mi cita de seguimiento:</w:t>
      </w:r>
    </w:p>
    <w:p w14:paraId="43C5C6FD" w14:textId="77777777" w:rsidR="00A54FFA" w:rsidRPr="00A8642D" w:rsidRDefault="00000000">
      <w:pPr>
        <w:tabs>
          <w:tab w:val="left" w:pos="3585"/>
          <w:tab w:val="left" w:pos="3876"/>
          <w:tab w:val="left" w:pos="7075"/>
        </w:tabs>
        <w:spacing w:before="122"/>
        <w:ind w:left="480"/>
        <w:rPr>
          <w:rFonts w:ascii="Times New Roman"/>
          <w:sz w:val="24"/>
          <w:szCs w:val="20"/>
        </w:rPr>
      </w:pPr>
      <w:r w:rsidRPr="00A8642D">
        <w:rPr>
          <w:sz w:val="24"/>
          <w:szCs w:val="20"/>
          <w:lang w:val="es"/>
        </w:rPr>
        <w:t xml:space="preserve">Fecha: </w:t>
      </w:r>
      <w:r w:rsidRPr="00A8642D">
        <w:rPr>
          <w:sz w:val="24"/>
          <w:szCs w:val="20"/>
          <w:lang w:val="es"/>
        </w:rPr>
        <w:tab/>
      </w:r>
      <w:r w:rsidRPr="00A8642D">
        <w:rPr>
          <w:sz w:val="24"/>
          <w:szCs w:val="20"/>
          <w:lang w:val="es"/>
        </w:rPr>
        <w:tab/>
        <w:t xml:space="preserve">Hora: </w:t>
      </w:r>
      <w:r w:rsidRPr="00A8642D">
        <w:rPr>
          <w:sz w:val="24"/>
          <w:szCs w:val="20"/>
          <w:lang w:val="es"/>
        </w:rPr>
        <w:tab/>
      </w:r>
    </w:p>
    <w:p w14:paraId="156FC323" w14:textId="77777777" w:rsidR="00A54FFA" w:rsidRPr="00A8642D" w:rsidRDefault="00A54FFA">
      <w:pPr>
        <w:pStyle w:val="BodyText"/>
        <w:spacing w:before="257"/>
        <w:jc w:val="left"/>
        <w:rPr>
          <w:rFonts w:ascii="Times New Roman"/>
          <w:szCs w:val="22"/>
        </w:rPr>
      </w:pPr>
    </w:p>
    <w:p w14:paraId="7B9DC66A" w14:textId="77777777" w:rsidR="00A54FFA" w:rsidRPr="00A8642D" w:rsidRDefault="00000000">
      <w:pPr>
        <w:tabs>
          <w:tab w:val="left" w:pos="7735"/>
        </w:tabs>
        <w:ind w:left="480"/>
        <w:rPr>
          <w:rFonts w:ascii="Times New Roman"/>
          <w:sz w:val="24"/>
          <w:szCs w:val="20"/>
        </w:rPr>
      </w:pPr>
      <w:r w:rsidRPr="00A8642D">
        <w:rPr>
          <w:sz w:val="24"/>
          <w:szCs w:val="20"/>
          <w:lang w:val="es"/>
        </w:rPr>
        <w:t xml:space="preserve">Lugar: </w:t>
      </w:r>
      <w:r w:rsidRPr="00A8642D">
        <w:rPr>
          <w:sz w:val="24"/>
          <w:szCs w:val="20"/>
          <w:lang w:val="es"/>
        </w:rPr>
        <w:tab/>
      </w:r>
    </w:p>
    <w:p w14:paraId="6ED1D341" w14:textId="77777777" w:rsidR="00A54FFA" w:rsidRPr="00A8642D" w:rsidRDefault="00A54FFA">
      <w:pPr>
        <w:pStyle w:val="BodyText"/>
        <w:spacing w:before="141"/>
        <w:jc w:val="left"/>
        <w:rPr>
          <w:rFonts w:ascii="Times New Roman"/>
          <w:szCs w:val="22"/>
        </w:rPr>
      </w:pPr>
    </w:p>
    <w:p w14:paraId="02A26379" w14:textId="77777777" w:rsidR="00A54FFA" w:rsidRPr="00A8642D" w:rsidRDefault="00000000">
      <w:pPr>
        <w:tabs>
          <w:tab w:val="left" w:pos="1675"/>
          <w:tab w:val="left" w:pos="7735"/>
        </w:tabs>
        <w:ind w:left="480"/>
        <w:rPr>
          <w:rFonts w:ascii="Times New Roman"/>
          <w:sz w:val="24"/>
          <w:szCs w:val="20"/>
        </w:rPr>
      </w:pPr>
      <w:r w:rsidRPr="00A8642D">
        <w:rPr>
          <w:sz w:val="24"/>
          <w:szCs w:val="20"/>
          <w:lang w:val="es"/>
        </w:rPr>
        <w:t>Contacto:</w:t>
      </w:r>
      <w:r w:rsidRPr="00A8642D">
        <w:rPr>
          <w:sz w:val="24"/>
          <w:szCs w:val="20"/>
          <w:lang w:val="es"/>
        </w:rPr>
        <w:tab/>
      </w:r>
      <w:r w:rsidRPr="00A8642D">
        <w:rPr>
          <w:sz w:val="24"/>
          <w:szCs w:val="20"/>
          <w:lang w:val="es"/>
        </w:rPr>
        <w:tab/>
      </w:r>
    </w:p>
    <w:p w14:paraId="2ACEBA01" w14:textId="77777777" w:rsidR="00A54FFA" w:rsidRPr="00A8642D" w:rsidRDefault="00000000">
      <w:pPr>
        <w:pStyle w:val="BodyText"/>
        <w:spacing w:before="4"/>
        <w:jc w:val="left"/>
        <w:rPr>
          <w:rFonts w:ascii="Times New Roman"/>
          <w:sz w:val="2"/>
          <w:szCs w:val="22"/>
        </w:rPr>
      </w:pPr>
      <w:r w:rsidRPr="00A8642D">
        <w:rPr>
          <w:rFonts w:ascii="Times New Roman" w:hAnsi="Times New Roman"/>
          <w:noProof/>
          <w:sz w:val="2"/>
          <w:szCs w:val="22"/>
          <w:lang w:val="es"/>
        </w:rPr>
        <w:drawing>
          <wp:anchor distT="0" distB="0" distL="0" distR="0" simplePos="0" relativeHeight="487587840" behindDoc="1" locked="0" layoutInCell="1" allowOverlap="1" wp14:anchorId="0476C47A" wp14:editId="5B5C29CD">
            <wp:simplePos x="0" y="0"/>
            <wp:positionH relativeFrom="page">
              <wp:posOffset>1642872</wp:posOffset>
            </wp:positionH>
            <wp:positionV relativeFrom="paragraph">
              <wp:posOffset>47112</wp:posOffset>
            </wp:positionV>
            <wp:extent cx="2167110" cy="1485900"/>
            <wp:effectExtent l="0" t="0" r="0" b="0"/>
            <wp:wrapTopAndBottom/>
            <wp:docPr id="1" name="Image 1" descr="Baby Logo Vector en Vectorified.com | Colección de Baby Logo Vec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aby Logo Vector at Vectorified.com | Collection of Baby Logo Vector ..."/>
                    <pic:cNvPicPr/>
                  </pic:nvPicPr>
                  <pic:blipFill>
                    <a:blip r:embed="rId5" cstate="print"/>
                    <a:stretch>
                      <a:fillRect/>
                    </a:stretch>
                  </pic:blipFill>
                  <pic:spPr>
                    <a:xfrm>
                      <a:off x="0" y="0"/>
                      <a:ext cx="2167110" cy="1485900"/>
                    </a:xfrm>
                    <a:prstGeom prst="rect">
                      <a:avLst/>
                    </a:prstGeom>
                  </pic:spPr>
                </pic:pic>
              </a:graphicData>
            </a:graphic>
          </wp:anchor>
        </w:drawing>
      </w:r>
    </w:p>
    <w:p w14:paraId="57C26FD0" w14:textId="77777777" w:rsidR="00A54FFA" w:rsidRPr="00A8642D" w:rsidRDefault="00A54FFA">
      <w:pPr>
        <w:pStyle w:val="BodyText"/>
        <w:spacing w:before="155"/>
        <w:jc w:val="left"/>
        <w:rPr>
          <w:rFonts w:ascii="Times New Roman"/>
          <w:szCs w:val="22"/>
        </w:rPr>
      </w:pPr>
    </w:p>
    <w:p w14:paraId="594858ED" w14:textId="77777777" w:rsidR="00A54FFA" w:rsidRPr="00A8642D" w:rsidRDefault="00000000">
      <w:pPr>
        <w:ind w:left="2179" w:right="464"/>
        <w:rPr>
          <w:sz w:val="24"/>
          <w:szCs w:val="20"/>
        </w:rPr>
      </w:pPr>
      <w:r w:rsidRPr="00A8642D">
        <w:rPr>
          <w:noProof/>
          <w:sz w:val="24"/>
          <w:szCs w:val="20"/>
          <w:lang w:val="es"/>
        </w:rPr>
        <w:drawing>
          <wp:anchor distT="0" distB="0" distL="0" distR="0" simplePos="0" relativeHeight="15729152" behindDoc="0" locked="0" layoutInCell="1" allowOverlap="1" wp14:anchorId="79BC8120" wp14:editId="4FB298CB">
            <wp:simplePos x="0" y="0"/>
            <wp:positionH relativeFrom="page">
              <wp:posOffset>599143</wp:posOffset>
            </wp:positionH>
            <wp:positionV relativeFrom="paragraph">
              <wp:posOffset>-105995</wp:posOffset>
            </wp:positionV>
            <wp:extent cx="789046" cy="7890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89046" cy="789037"/>
                    </a:xfrm>
                    <a:prstGeom prst="rect">
                      <a:avLst/>
                    </a:prstGeom>
                  </pic:spPr>
                </pic:pic>
              </a:graphicData>
            </a:graphic>
          </wp:anchor>
        </w:drawing>
      </w:r>
      <w:r w:rsidRPr="00A8642D">
        <w:rPr>
          <w:sz w:val="24"/>
          <w:szCs w:val="20"/>
          <w:lang w:val="es"/>
        </w:rPr>
        <w:t>Escanea el código QR para obtener más información sobre la inducción del parto en nuestra página web.</w:t>
      </w:r>
    </w:p>
    <w:p w14:paraId="4788582F" w14:textId="77777777" w:rsidR="00A54FFA" w:rsidRPr="00A8642D" w:rsidRDefault="00000000">
      <w:pPr>
        <w:pStyle w:val="Heading1"/>
        <w:tabs>
          <w:tab w:val="left" w:pos="6811"/>
        </w:tabs>
        <w:rPr>
          <w:position w:val="-36"/>
          <w:sz w:val="28"/>
          <w:szCs w:val="28"/>
        </w:rPr>
      </w:pPr>
      <w:r w:rsidRPr="00A8642D">
        <w:rPr>
          <w:b w:val="0"/>
          <w:bCs w:val="0"/>
          <w:sz w:val="28"/>
          <w:szCs w:val="28"/>
          <w:lang w:val="es"/>
        </w:rPr>
        <w:br w:type="column"/>
      </w:r>
      <w:r w:rsidRPr="00A8642D">
        <w:rPr>
          <w:b w:val="0"/>
          <w:bCs w:val="0"/>
          <w:sz w:val="28"/>
          <w:szCs w:val="28"/>
          <w:lang w:val="es"/>
        </w:rPr>
        <w:t>Inducción del parto:</w:t>
      </w:r>
      <w:r w:rsidRPr="00A8642D">
        <w:rPr>
          <w:sz w:val="28"/>
          <w:szCs w:val="28"/>
          <w:lang w:val="es"/>
        </w:rPr>
        <w:t xml:space="preserve"> </w:t>
      </w:r>
      <w:r w:rsidRPr="00A8642D">
        <w:rPr>
          <w:b w:val="0"/>
          <w:bCs w:val="0"/>
          <w:sz w:val="28"/>
          <w:szCs w:val="28"/>
          <w:lang w:val="es"/>
        </w:rPr>
        <w:t>Información útil</w:t>
      </w:r>
      <w:r w:rsidRPr="00A8642D">
        <w:rPr>
          <w:b w:val="0"/>
          <w:bCs w:val="0"/>
          <w:sz w:val="28"/>
          <w:szCs w:val="28"/>
          <w:lang w:val="es"/>
        </w:rPr>
        <w:tab/>
      </w:r>
      <w:r w:rsidRPr="00A8642D">
        <w:rPr>
          <w:b w:val="0"/>
          <w:bCs w:val="0"/>
          <w:noProof/>
          <w:sz w:val="28"/>
          <w:szCs w:val="28"/>
          <w:lang w:val="es"/>
        </w:rPr>
        <w:drawing>
          <wp:anchor distT="0" distB="0" distL="114300" distR="114300" simplePos="0" relativeHeight="487589888" behindDoc="0" locked="0" layoutInCell="1" allowOverlap="1" wp14:anchorId="119C7A71" wp14:editId="496F9E6F">
            <wp:simplePos x="0" y="0"/>
            <wp:positionH relativeFrom="column">
              <wp:posOffset>4340860</wp:posOffset>
            </wp:positionH>
            <wp:positionV relativeFrom="paragraph">
              <wp:posOffset>-6035040</wp:posOffset>
            </wp:positionV>
            <wp:extent cx="676275" cy="466725"/>
            <wp:effectExtent l="0" t="0" r="9525" b="9525"/>
            <wp:wrapThrough wrapText="bothSides">
              <wp:wrapPolygon edited="0">
                <wp:start x="0" y="0"/>
                <wp:lineTo x="0" y="21159"/>
                <wp:lineTo x="21296" y="21159"/>
                <wp:lineTo x="21296" y="0"/>
                <wp:lineTo x="0" y="0"/>
              </wp:wrapPolygon>
            </wp:wrapThrough>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 cy="466725"/>
                    </a:xfrm>
                    <a:prstGeom prst="rect">
                      <a:avLst/>
                    </a:prstGeom>
                  </pic:spPr>
                </pic:pic>
              </a:graphicData>
            </a:graphic>
            <wp14:sizeRelH relativeFrom="page">
              <wp14:pctWidth>0</wp14:pctWidth>
            </wp14:sizeRelH>
            <wp14:sizeRelV relativeFrom="page">
              <wp14:pctHeight>0</wp14:pctHeight>
            </wp14:sizeRelV>
          </wp:anchor>
        </w:drawing>
      </w:r>
    </w:p>
    <w:p w14:paraId="54ABE5FB" w14:textId="77777777" w:rsidR="00A54FFA" w:rsidRPr="00A8642D" w:rsidRDefault="00000000">
      <w:pPr>
        <w:spacing w:line="234" w:lineRule="exact"/>
        <w:ind w:left="480"/>
        <w:jc w:val="both"/>
        <w:rPr>
          <w:b/>
          <w:szCs w:val="20"/>
        </w:rPr>
      </w:pPr>
      <w:r w:rsidRPr="00A8642D">
        <w:rPr>
          <w:szCs w:val="20"/>
          <w:lang w:val="es"/>
        </w:rPr>
        <w:t xml:space="preserve">¿Qué es la inducción del </w:t>
      </w:r>
      <w:proofErr w:type="gramStart"/>
      <w:r w:rsidRPr="00A8642D">
        <w:rPr>
          <w:szCs w:val="20"/>
          <w:lang w:val="es"/>
        </w:rPr>
        <w:t>parto(</w:t>
      </w:r>
      <w:proofErr w:type="gramEnd"/>
      <w:r w:rsidRPr="00A8642D">
        <w:rPr>
          <w:szCs w:val="20"/>
          <w:lang w:val="es"/>
        </w:rPr>
        <w:t>IDP)?</w:t>
      </w:r>
    </w:p>
    <w:p w14:paraId="61A29F08" w14:textId="77777777" w:rsidR="00A54FFA" w:rsidRPr="00A8642D" w:rsidRDefault="00000000">
      <w:pPr>
        <w:spacing w:before="176" w:line="242" w:lineRule="auto"/>
        <w:ind w:left="480" w:right="54"/>
        <w:jc w:val="both"/>
        <w:rPr>
          <w:szCs w:val="20"/>
        </w:rPr>
      </w:pPr>
      <w:r w:rsidRPr="00A8642D">
        <w:rPr>
          <w:szCs w:val="20"/>
          <w:lang w:val="es"/>
        </w:rPr>
        <w:t>La mayoría de las mujeres se ponen de parto de forma natural. A veces, podemos recomendarte empezar tu parto -lo que se conoce como inducción del parto. En NHS Lothian, se les ofrece la inducción a entre el 25% y el 30% de las embarazadas. Puede que se te ofrezca la IDP si:</w:t>
      </w:r>
    </w:p>
    <w:p w14:paraId="36BBCF5F" w14:textId="77777777" w:rsidR="00A54FFA" w:rsidRPr="00A8642D" w:rsidRDefault="00000000">
      <w:pPr>
        <w:pStyle w:val="ListParagraph"/>
        <w:numPr>
          <w:ilvl w:val="0"/>
          <w:numId w:val="1"/>
        </w:numPr>
        <w:tabs>
          <w:tab w:val="left" w:pos="1046"/>
        </w:tabs>
        <w:spacing w:before="113"/>
        <w:ind w:hanging="566"/>
        <w:jc w:val="left"/>
        <w:rPr>
          <w:rFonts w:ascii="Symbol" w:hAnsi="Symbol"/>
          <w:szCs w:val="20"/>
        </w:rPr>
      </w:pPr>
      <w:r w:rsidRPr="00A8642D">
        <w:rPr>
          <w:szCs w:val="20"/>
          <w:lang w:val="es"/>
        </w:rPr>
        <w:t>Tu embarazo continúa pasadas las 41 semanas</w:t>
      </w:r>
    </w:p>
    <w:p w14:paraId="5E0F44B4" w14:textId="77777777" w:rsidR="00A54FFA" w:rsidRPr="00A8642D" w:rsidRDefault="00000000">
      <w:pPr>
        <w:pStyle w:val="ListParagraph"/>
        <w:numPr>
          <w:ilvl w:val="0"/>
          <w:numId w:val="1"/>
        </w:numPr>
        <w:tabs>
          <w:tab w:val="left" w:pos="1046"/>
        </w:tabs>
        <w:ind w:hanging="566"/>
        <w:jc w:val="left"/>
        <w:rPr>
          <w:rFonts w:ascii="Symbol" w:hAnsi="Symbol"/>
          <w:szCs w:val="20"/>
        </w:rPr>
      </w:pPr>
      <w:r w:rsidRPr="00A8642D">
        <w:rPr>
          <w:szCs w:val="20"/>
          <w:lang w:val="es"/>
        </w:rPr>
        <w:t>Existen problemas médicos para ti o para tu bebé</w:t>
      </w:r>
    </w:p>
    <w:p w14:paraId="0ACB9B64" w14:textId="77777777" w:rsidR="00A54FFA" w:rsidRPr="00A8642D" w:rsidRDefault="00000000">
      <w:pPr>
        <w:pStyle w:val="ListParagraph"/>
        <w:numPr>
          <w:ilvl w:val="0"/>
          <w:numId w:val="1"/>
        </w:numPr>
        <w:tabs>
          <w:tab w:val="left" w:pos="1046"/>
        </w:tabs>
        <w:spacing w:before="117"/>
        <w:ind w:hanging="566"/>
        <w:jc w:val="left"/>
        <w:rPr>
          <w:rFonts w:ascii="Symbol" w:hAnsi="Symbol"/>
          <w:szCs w:val="20"/>
        </w:rPr>
      </w:pPr>
      <w:r w:rsidRPr="00A8642D">
        <w:rPr>
          <w:szCs w:val="20"/>
          <w:lang w:val="es"/>
        </w:rPr>
        <w:t xml:space="preserve">Rompes </w:t>
      </w:r>
      <w:proofErr w:type="gramStart"/>
      <w:r w:rsidRPr="00A8642D">
        <w:rPr>
          <w:szCs w:val="20"/>
          <w:lang w:val="es"/>
        </w:rPr>
        <w:t>aguas</w:t>
      </w:r>
      <w:proofErr w:type="gramEnd"/>
      <w:r w:rsidRPr="00A8642D">
        <w:rPr>
          <w:szCs w:val="20"/>
          <w:lang w:val="es"/>
        </w:rPr>
        <w:t xml:space="preserve"> pero no te pones de parto.</w:t>
      </w:r>
    </w:p>
    <w:p w14:paraId="4014F151" w14:textId="77777777" w:rsidR="00A54FFA" w:rsidRPr="00A8642D" w:rsidRDefault="00000000">
      <w:pPr>
        <w:spacing w:before="123"/>
        <w:ind w:left="480"/>
        <w:rPr>
          <w:b/>
          <w:szCs w:val="20"/>
        </w:rPr>
      </w:pPr>
      <w:r w:rsidRPr="00A8642D">
        <w:rPr>
          <w:szCs w:val="20"/>
          <w:lang w:val="es"/>
        </w:rPr>
        <w:t>¿Cómo se induce el parto?</w:t>
      </w:r>
    </w:p>
    <w:p w14:paraId="7E7A8DC8" w14:textId="77777777" w:rsidR="00A54FFA" w:rsidRPr="00A8642D" w:rsidRDefault="00000000">
      <w:pPr>
        <w:spacing w:before="123" w:line="242" w:lineRule="auto"/>
        <w:ind w:left="480"/>
        <w:rPr>
          <w:szCs w:val="20"/>
        </w:rPr>
      </w:pPr>
      <w:r w:rsidRPr="00A8642D">
        <w:rPr>
          <w:szCs w:val="20"/>
          <w:lang w:val="es"/>
        </w:rPr>
        <w:t>La IDP pretende imitar el proceso natural del parto. Puede desglosarse en tres pasos:</w:t>
      </w:r>
    </w:p>
    <w:p w14:paraId="3E9E3E4C" w14:textId="77777777" w:rsidR="00A54FFA" w:rsidRPr="00A8642D" w:rsidRDefault="00000000">
      <w:pPr>
        <w:tabs>
          <w:tab w:val="left" w:pos="1046"/>
        </w:tabs>
        <w:spacing w:before="114" w:line="244" w:lineRule="auto"/>
        <w:ind w:left="1046" w:right="52" w:hanging="567"/>
        <w:rPr>
          <w:szCs w:val="20"/>
        </w:rPr>
      </w:pPr>
      <w:r w:rsidRPr="00A8642D">
        <w:rPr>
          <w:rFonts w:ascii="Symbol" w:hAnsi="Symbol"/>
          <w:szCs w:val="20"/>
          <w:lang w:val="es"/>
        </w:rPr>
        <w:t></w:t>
      </w:r>
      <w:r w:rsidRPr="00A8642D">
        <w:rPr>
          <w:rFonts w:ascii="Symbol" w:hAnsi="Symbol"/>
          <w:szCs w:val="20"/>
          <w:lang w:val="es"/>
        </w:rPr>
        <w:t></w:t>
      </w:r>
      <w:r w:rsidRPr="00A8642D">
        <w:rPr>
          <w:szCs w:val="20"/>
          <w:lang w:val="es"/>
        </w:rPr>
        <w:tab/>
        <w:t>Maduración del cuello del útero: Para ayudar con la maduración del cuello del útero, podemos ofrecerte rotura de membranas, un globo de maduración cervical o prostaglandinas vaginales.</w:t>
      </w:r>
    </w:p>
    <w:p w14:paraId="57C8C133" w14:textId="77777777" w:rsidR="00A54FFA" w:rsidRPr="00A8642D" w:rsidRDefault="00000000">
      <w:pPr>
        <w:tabs>
          <w:tab w:val="left" w:pos="1046"/>
        </w:tabs>
        <w:spacing w:before="111" w:line="242" w:lineRule="auto"/>
        <w:ind w:left="1046" w:right="52" w:hanging="567"/>
        <w:rPr>
          <w:szCs w:val="20"/>
        </w:rPr>
      </w:pPr>
      <w:r w:rsidRPr="00A8642D">
        <w:rPr>
          <w:rFonts w:ascii="Symbol" w:hAnsi="Symbol"/>
          <w:szCs w:val="20"/>
          <w:lang w:val="es"/>
        </w:rPr>
        <w:t></w:t>
      </w:r>
      <w:r w:rsidRPr="00A8642D">
        <w:rPr>
          <w:rFonts w:ascii="Symbol" w:hAnsi="Symbol"/>
          <w:szCs w:val="20"/>
          <w:lang w:val="es"/>
        </w:rPr>
        <w:t></w:t>
      </w:r>
      <w:r w:rsidRPr="00A8642D">
        <w:rPr>
          <w:szCs w:val="20"/>
          <w:lang w:val="es"/>
        </w:rPr>
        <w:tab/>
        <w:t>Romper aguas: Te ofreceremos romper aguas usando un pequeño gancho.</w:t>
      </w:r>
    </w:p>
    <w:p w14:paraId="4BA8A854" w14:textId="77777777" w:rsidR="00A54FFA" w:rsidRPr="00A8642D" w:rsidRDefault="00000000">
      <w:pPr>
        <w:tabs>
          <w:tab w:val="left" w:pos="1046"/>
        </w:tabs>
        <w:spacing w:before="115" w:line="242" w:lineRule="auto"/>
        <w:ind w:left="1046" w:right="52" w:hanging="567"/>
        <w:rPr>
          <w:szCs w:val="20"/>
        </w:rPr>
      </w:pPr>
      <w:r w:rsidRPr="00A8642D">
        <w:rPr>
          <w:rFonts w:ascii="Symbol" w:hAnsi="Symbol"/>
          <w:szCs w:val="20"/>
          <w:lang w:val="es"/>
        </w:rPr>
        <w:t></w:t>
      </w:r>
      <w:r w:rsidRPr="00A8642D">
        <w:rPr>
          <w:rFonts w:ascii="Symbol" w:hAnsi="Symbol"/>
          <w:szCs w:val="20"/>
          <w:lang w:val="es"/>
        </w:rPr>
        <w:t></w:t>
      </w:r>
      <w:r w:rsidRPr="00A8642D">
        <w:rPr>
          <w:szCs w:val="20"/>
          <w:lang w:val="es"/>
        </w:rPr>
        <w:tab/>
        <w:t>Empezar o estimular las contracciones: Podemos ofrecerte un goteo de hormonas (</w:t>
      </w:r>
      <w:proofErr w:type="spellStart"/>
      <w:r w:rsidRPr="00A8642D">
        <w:rPr>
          <w:szCs w:val="20"/>
          <w:lang w:val="es"/>
        </w:rPr>
        <w:t>Syntocinon</w:t>
      </w:r>
      <w:proofErr w:type="spellEnd"/>
      <w:r w:rsidRPr="00A8642D">
        <w:rPr>
          <w:szCs w:val="20"/>
          <w:lang w:val="es"/>
        </w:rPr>
        <w:t>) para ayudarte a empezar o estimular tus contracciones.</w:t>
      </w:r>
    </w:p>
    <w:p w14:paraId="204E8073" w14:textId="77777777" w:rsidR="00A54FFA" w:rsidRPr="00A8642D" w:rsidRDefault="00000000">
      <w:pPr>
        <w:spacing w:before="119"/>
        <w:ind w:left="480"/>
        <w:rPr>
          <w:b/>
          <w:szCs w:val="20"/>
        </w:rPr>
      </w:pPr>
      <w:r w:rsidRPr="00A8642D">
        <w:rPr>
          <w:szCs w:val="20"/>
          <w:lang w:val="es"/>
        </w:rPr>
        <w:t>¿Dónde me harán la IDP?</w:t>
      </w:r>
    </w:p>
    <w:p w14:paraId="7EA27EC2" w14:textId="77777777" w:rsidR="00A54FFA" w:rsidRPr="00A8642D" w:rsidRDefault="00000000">
      <w:pPr>
        <w:spacing w:before="122" w:line="242" w:lineRule="auto"/>
        <w:ind w:left="480" w:right="55"/>
        <w:jc w:val="both"/>
        <w:rPr>
          <w:szCs w:val="20"/>
        </w:rPr>
      </w:pPr>
      <w:r w:rsidRPr="00A8642D">
        <w:rPr>
          <w:szCs w:val="20"/>
          <w:lang w:val="es"/>
        </w:rPr>
        <w:t xml:space="preserve">Utilizamos tanto la Royal </w:t>
      </w:r>
      <w:proofErr w:type="spellStart"/>
      <w:r w:rsidRPr="00A8642D">
        <w:rPr>
          <w:szCs w:val="20"/>
          <w:lang w:val="es"/>
        </w:rPr>
        <w:t>Infirmary</w:t>
      </w:r>
      <w:proofErr w:type="spellEnd"/>
      <w:r w:rsidRPr="00A8642D">
        <w:rPr>
          <w:szCs w:val="20"/>
          <w:lang w:val="es"/>
        </w:rPr>
        <w:t xml:space="preserve"> </w:t>
      </w:r>
      <w:proofErr w:type="spellStart"/>
      <w:r w:rsidRPr="00A8642D">
        <w:rPr>
          <w:szCs w:val="20"/>
          <w:lang w:val="es"/>
        </w:rPr>
        <w:t>of</w:t>
      </w:r>
      <w:proofErr w:type="spellEnd"/>
      <w:r w:rsidRPr="00A8642D">
        <w:rPr>
          <w:szCs w:val="20"/>
          <w:lang w:val="es"/>
        </w:rPr>
        <w:t xml:space="preserve"> Edinburgh como el </w:t>
      </w:r>
      <w:proofErr w:type="spellStart"/>
      <w:r w:rsidRPr="00A8642D">
        <w:rPr>
          <w:szCs w:val="20"/>
          <w:lang w:val="es"/>
        </w:rPr>
        <w:t>St</w:t>
      </w:r>
      <w:proofErr w:type="spellEnd"/>
      <w:r w:rsidRPr="00A8642D">
        <w:rPr>
          <w:szCs w:val="20"/>
          <w:lang w:val="es"/>
        </w:rPr>
        <w:t xml:space="preserve"> </w:t>
      </w:r>
      <w:proofErr w:type="spellStart"/>
      <w:r w:rsidRPr="00A8642D">
        <w:rPr>
          <w:szCs w:val="20"/>
          <w:lang w:val="es"/>
        </w:rPr>
        <w:t>John's</w:t>
      </w:r>
      <w:proofErr w:type="spellEnd"/>
      <w:r w:rsidRPr="00A8642D">
        <w:rPr>
          <w:szCs w:val="20"/>
          <w:lang w:val="es"/>
        </w:rPr>
        <w:t xml:space="preserve"> Hospital, Livingston, para ofrecer la IDP. Te ofreceremos una cita en uno de los dos sitios, o como persona hospitalizada (puedes quedarte en el hospital para todo el proceso de la IDP) o como paciente ambulatorio (vas a casa durante la primera parte de la IDP).</w:t>
      </w:r>
    </w:p>
    <w:p w14:paraId="3AE5E784" w14:textId="77777777" w:rsidR="00A54FFA" w:rsidRPr="00A8642D" w:rsidRDefault="00000000">
      <w:pPr>
        <w:spacing w:before="119"/>
        <w:ind w:left="480"/>
        <w:jc w:val="both"/>
        <w:rPr>
          <w:b/>
          <w:szCs w:val="20"/>
        </w:rPr>
      </w:pPr>
      <w:r w:rsidRPr="00A8642D">
        <w:rPr>
          <w:szCs w:val="20"/>
          <w:lang w:val="es"/>
        </w:rPr>
        <w:t>¿Cuánto dura la IDP?</w:t>
      </w:r>
    </w:p>
    <w:p w14:paraId="20EF835A" w14:textId="77777777" w:rsidR="00A54FFA" w:rsidRPr="00A8642D" w:rsidRDefault="00000000">
      <w:pPr>
        <w:spacing w:before="123" w:line="242" w:lineRule="auto"/>
        <w:ind w:left="480" w:right="54"/>
        <w:jc w:val="both"/>
        <w:rPr>
          <w:szCs w:val="20"/>
        </w:rPr>
      </w:pPr>
      <w:r w:rsidRPr="00A8642D">
        <w:rPr>
          <w:szCs w:val="20"/>
          <w:lang w:val="es"/>
        </w:rPr>
        <w:t>Tu seguridad y la de tu bebé es la consideración más importante durante la inducción. Este proceso puede llevar un tiempo porque:</w:t>
      </w:r>
    </w:p>
    <w:p w14:paraId="1F8EE9B7" w14:textId="77777777" w:rsidR="00A54FFA" w:rsidRPr="00A8642D" w:rsidRDefault="00000000">
      <w:pPr>
        <w:pStyle w:val="ListParagraph"/>
        <w:numPr>
          <w:ilvl w:val="0"/>
          <w:numId w:val="1"/>
        </w:numPr>
        <w:tabs>
          <w:tab w:val="left" w:pos="1046"/>
        </w:tabs>
        <w:spacing w:before="114" w:line="244" w:lineRule="auto"/>
        <w:ind w:right="44"/>
        <w:rPr>
          <w:rFonts w:ascii="Symbol" w:hAnsi="Symbol"/>
          <w:szCs w:val="20"/>
        </w:rPr>
      </w:pPr>
      <w:r w:rsidRPr="00A8642D">
        <w:rPr>
          <w:szCs w:val="20"/>
          <w:lang w:val="es"/>
        </w:rPr>
        <w:t>Puede que tengas que esperar a tener una cama en el hospital antes de poder empezar con la inducción</w:t>
      </w:r>
    </w:p>
    <w:p w14:paraId="48A8D909" w14:textId="77777777" w:rsidR="00A54FFA" w:rsidRPr="00A8642D" w:rsidRDefault="00000000">
      <w:pPr>
        <w:pStyle w:val="ListParagraph"/>
        <w:numPr>
          <w:ilvl w:val="0"/>
          <w:numId w:val="1"/>
        </w:numPr>
        <w:tabs>
          <w:tab w:val="left" w:pos="1046"/>
        </w:tabs>
        <w:spacing w:before="111" w:line="242" w:lineRule="auto"/>
        <w:ind w:right="49"/>
        <w:rPr>
          <w:rFonts w:ascii="Symbol" w:hAnsi="Symbol"/>
          <w:szCs w:val="20"/>
        </w:rPr>
      </w:pPr>
      <w:r w:rsidRPr="00A8642D">
        <w:rPr>
          <w:szCs w:val="20"/>
          <w:lang w:val="es"/>
        </w:rPr>
        <w:t>El proceso de maduración del cuello del útero puedo llevar hasta cinco días y, a veces, puede no funcionar</w:t>
      </w:r>
    </w:p>
    <w:p w14:paraId="109B1A05" w14:textId="77777777" w:rsidR="00A54FFA" w:rsidRPr="00A8642D" w:rsidRDefault="00A54FFA">
      <w:pPr>
        <w:pStyle w:val="ListParagraph"/>
        <w:spacing w:line="242" w:lineRule="auto"/>
        <w:rPr>
          <w:rFonts w:ascii="Symbol" w:hAnsi="Symbol"/>
          <w:szCs w:val="20"/>
        </w:rPr>
        <w:sectPr w:rsidR="00A54FFA" w:rsidRPr="00A8642D">
          <w:type w:val="continuous"/>
          <w:pgSz w:w="16840" w:h="11910" w:orient="landscape"/>
          <w:pgMar w:top="340" w:right="708" w:bottom="0" w:left="283" w:header="720" w:footer="720" w:gutter="0"/>
          <w:cols w:num="2" w:space="720" w:equalWidth="0">
            <w:col w:w="7826" w:space="85"/>
            <w:col w:w="7938"/>
          </w:cols>
        </w:sectPr>
      </w:pPr>
    </w:p>
    <w:p w14:paraId="2941ECF0" w14:textId="77777777" w:rsidR="00A54FFA" w:rsidRPr="00A8642D" w:rsidRDefault="00000000">
      <w:pPr>
        <w:tabs>
          <w:tab w:val="left" w:pos="3922"/>
          <w:tab w:val="right" w:pos="12328"/>
        </w:tabs>
        <w:spacing w:before="115"/>
        <w:ind w:left="79"/>
        <w:rPr>
          <w:position w:val="-6"/>
          <w:sz w:val="18"/>
          <w:szCs w:val="20"/>
        </w:rPr>
      </w:pPr>
      <w:r w:rsidRPr="00A8642D">
        <w:rPr>
          <w:sz w:val="10"/>
          <w:szCs w:val="20"/>
          <w:lang w:val="es"/>
        </w:rPr>
        <w:t>Versión LOT 270: 3.2 Julio 2023</w:t>
      </w:r>
      <w:r w:rsidRPr="00A8642D">
        <w:rPr>
          <w:sz w:val="10"/>
          <w:szCs w:val="20"/>
          <w:lang w:val="es"/>
        </w:rPr>
        <w:tab/>
      </w:r>
      <w:r w:rsidRPr="00A8642D">
        <w:rPr>
          <w:sz w:val="18"/>
          <w:szCs w:val="20"/>
          <w:lang w:val="es"/>
        </w:rPr>
        <w:t>4</w:t>
      </w:r>
      <w:r w:rsidRPr="00A8642D">
        <w:rPr>
          <w:sz w:val="18"/>
          <w:szCs w:val="20"/>
          <w:lang w:val="es"/>
        </w:rPr>
        <w:tab/>
        <w:t>1</w:t>
      </w:r>
    </w:p>
    <w:p w14:paraId="612B72BA" w14:textId="77777777" w:rsidR="00A54FFA" w:rsidRPr="00A8642D" w:rsidRDefault="00000000">
      <w:pPr>
        <w:spacing w:before="28"/>
        <w:ind w:left="79"/>
        <w:rPr>
          <w:sz w:val="10"/>
          <w:szCs w:val="20"/>
        </w:rPr>
      </w:pPr>
      <w:r w:rsidRPr="00A8642D">
        <w:rPr>
          <w:sz w:val="10"/>
          <w:szCs w:val="20"/>
          <w:lang w:val="es"/>
        </w:rPr>
        <w:t>Evaluación: Julio 2026</w:t>
      </w:r>
    </w:p>
    <w:p w14:paraId="5ADD249B" w14:textId="77777777" w:rsidR="00A54FFA" w:rsidRPr="00A8642D" w:rsidRDefault="00A54FFA">
      <w:pPr>
        <w:rPr>
          <w:sz w:val="10"/>
          <w:szCs w:val="20"/>
        </w:rPr>
        <w:sectPr w:rsidR="00A54FFA" w:rsidRPr="00A8642D">
          <w:type w:val="continuous"/>
          <w:pgSz w:w="16840" w:h="11910" w:orient="landscape"/>
          <w:pgMar w:top="340" w:right="708" w:bottom="0" w:left="283" w:header="720" w:footer="720" w:gutter="0"/>
          <w:cols w:space="720"/>
        </w:sectPr>
      </w:pPr>
    </w:p>
    <w:p w14:paraId="70D242BF" w14:textId="77777777" w:rsidR="00A54FFA" w:rsidRPr="00A8642D" w:rsidRDefault="00000000">
      <w:pPr>
        <w:pStyle w:val="ListParagraph"/>
        <w:numPr>
          <w:ilvl w:val="0"/>
          <w:numId w:val="1"/>
        </w:numPr>
        <w:tabs>
          <w:tab w:val="left" w:pos="1035"/>
          <w:tab w:val="left" w:pos="1037"/>
        </w:tabs>
        <w:spacing w:before="45"/>
        <w:ind w:left="1037"/>
        <w:rPr>
          <w:rFonts w:ascii="Symbol" w:hAnsi="Symbol"/>
          <w:sz w:val="18"/>
          <w:szCs w:val="20"/>
        </w:rPr>
      </w:pPr>
      <w:r w:rsidRPr="00A8642D">
        <w:rPr>
          <w:szCs w:val="20"/>
          <w:lang w:val="es"/>
        </w:rPr>
        <w:lastRenderedPageBreak/>
        <w:t>A veces, puede haber una demora antes de que rompas aguas. Esto se debe a que te recomendamos controlarte a ti y a tu bebé más de cerca en la sala de partos, y puede que tengas que esperar a que haya un lugar disponible.</w:t>
      </w:r>
    </w:p>
    <w:p w14:paraId="4D577D91" w14:textId="77777777" w:rsidR="00A54FFA" w:rsidRPr="00A8642D" w:rsidRDefault="00000000">
      <w:pPr>
        <w:pStyle w:val="ListParagraph"/>
        <w:numPr>
          <w:ilvl w:val="0"/>
          <w:numId w:val="1"/>
        </w:numPr>
        <w:tabs>
          <w:tab w:val="left" w:pos="1035"/>
          <w:tab w:val="left" w:pos="1037"/>
        </w:tabs>
        <w:ind w:left="1037"/>
        <w:rPr>
          <w:rFonts w:ascii="Symbol" w:hAnsi="Symbol"/>
          <w:sz w:val="18"/>
          <w:szCs w:val="20"/>
        </w:rPr>
      </w:pPr>
      <w:r w:rsidRPr="00A8642D">
        <w:rPr>
          <w:szCs w:val="20"/>
          <w:lang w:val="es"/>
        </w:rPr>
        <w:t>En ocasiones hay demoras en el sistema. Siempre priorizamos nuestra carga de trabajo en base a las necesidades médicas, lo que significa que pueden llegar otras personas a la unidad que necesiten atención urgente. Si alguno de los dos sitios está particularmente lleno, podemos ofrecerte la opción de irte al otro sitio para continuar con la IDP.</w:t>
      </w:r>
    </w:p>
    <w:p w14:paraId="3078F7F9" w14:textId="77777777" w:rsidR="00A54FFA" w:rsidRPr="00A8642D" w:rsidRDefault="00000000">
      <w:pPr>
        <w:pStyle w:val="Heading3"/>
        <w:spacing w:before="121"/>
        <w:rPr>
          <w:sz w:val="22"/>
          <w:szCs w:val="22"/>
        </w:rPr>
      </w:pPr>
      <w:r w:rsidRPr="00A8642D">
        <w:rPr>
          <w:b w:val="0"/>
          <w:bCs w:val="0"/>
          <w:sz w:val="22"/>
          <w:szCs w:val="22"/>
          <w:lang w:val="es"/>
        </w:rPr>
        <w:t>¿Puedo negarme a la IDP?</w:t>
      </w:r>
    </w:p>
    <w:p w14:paraId="2BCDCC32" w14:textId="77777777" w:rsidR="00A54FFA" w:rsidRPr="00A8642D" w:rsidRDefault="00000000">
      <w:pPr>
        <w:pStyle w:val="BodyText"/>
        <w:ind w:left="470" w:right="3"/>
        <w:rPr>
          <w:sz w:val="22"/>
          <w:szCs w:val="22"/>
        </w:rPr>
      </w:pPr>
      <w:r w:rsidRPr="00A8642D">
        <w:rPr>
          <w:sz w:val="22"/>
          <w:szCs w:val="22"/>
          <w:lang w:val="es"/>
        </w:rPr>
        <w:t>Es importante que te tomes tu tiempo para preguntar por las opciones que tienes y hablar sobre tus circunstancias personales y médicas. La decisión de que se te practique la inducción o esperar es tuya y será respetada.</w:t>
      </w:r>
    </w:p>
    <w:p w14:paraId="111F719C" w14:textId="77777777" w:rsidR="00A54FFA" w:rsidRPr="00A8642D" w:rsidRDefault="00000000">
      <w:pPr>
        <w:pStyle w:val="BodyText"/>
        <w:ind w:left="470" w:right="1"/>
        <w:rPr>
          <w:sz w:val="22"/>
          <w:szCs w:val="22"/>
        </w:rPr>
      </w:pPr>
      <w:r w:rsidRPr="00A8642D">
        <w:rPr>
          <w:sz w:val="22"/>
          <w:szCs w:val="22"/>
          <w:lang w:val="es"/>
        </w:rPr>
        <w:t>Si decides que no se te realice la inducción cuando se te recomienda, debes comunicárselo a tu comadrona o a tu ginecólogo. Te invitaremos a venir a la clínica o al hospital para un control para comprobar cómo estáis tú y tu bebé. El control se ofrece para proporcionarte información sobre cómo está tu bebé en ese momento, y puede ayudarte a tomar una decisión sobre opciones de parto.</w:t>
      </w:r>
    </w:p>
    <w:p w14:paraId="7E56202C" w14:textId="16952CF9" w:rsidR="00A54FFA" w:rsidRPr="00A8642D" w:rsidRDefault="00006120">
      <w:pPr>
        <w:pStyle w:val="BodyText"/>
        <w:spacing w:before="8"/>
        <w:jc w:val="left"/>
        <w:rPr>
          <w:sz w:val="7"/>
          <w:szCs w:val="22"/>
        </w:rPr>
      </w:pPr>
      <w:r w:rsidRPr="00006120">
        <w:rPr>
          <w:noProof/>
          <w:sz w:val="7"/>
          <w:szCs w:val="22"/>
          <w:lang w:val="es"/>
        </w:rPr>
        <w:drawing>
          <wp:inline distT="0" distB="0" distL="0" distR="0" wp14:anchorId="0C0EEF4C" wp14:editId="326D7270">
            <wp:extent cx="4962525" cy="3317056"/>
            <wp:effectExtent l="0" t="0" r="0" b="0"/>
            <wp:docPr id="1309748610"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48610" name="Picture 1" descr="A screenshot of a chat&#10;&#10;AI-generated content may be incorrect."/>
                    <pic:cNvPicPr/>
                  </pic:nvPicPr>
                  <pic:blipFill>
                    <a:blip r:embed="rId8"/>
                    <a:stretch>
                      <a:fillRect/>
                    </a:stretch>
                  </pic:blipFill>
                  <pic:spPr>
                    <a:xfrm>
                      <a:off x="0" y="0"/>
                      <a:ext cx="4971916" cy="3323333"/>
                    </a:xfrm>
                    <a:prstGeom prst="rect">
                      <a:avLst/>
                    </a:prstGeom>
                  </pic:spPr>
                </pic:pic>
              </a:graphicData>
            </a:graphic>
          </wp:inline>
        </w:drawing>
      </w:r>
    </w:p>
    <w:p w14:paraId="491D2228" w14:textId="77777777" w:rsidR="00A54FFA" w:rsidRPr="00A8642D" w:rsidRDefault="00000000">
      <w:pPr>
        <w:spacing w:before="40"/>
        <w:ind w:right="202"/>
        <w:jc w:val="center"/>
        <w:rPr>
          <w:sz w:val="18"/>
          <w:szCs w:val="20"/>
        </w:rPr>
      </w:pPr>
      <w:r w:rsidRPr="00A8642D">
        <w:rPr>
          <w:sz w:val="18"/>
          <w:szCs w:val="20"/>
          <w:lang w:val="es"/>
        </w:rPr>
        <w:t>2</w:t>
      </w:r>
    </w:p>
    <w:p w14:paraId="7DB44134" w14:textId="77777777" w:rsidR="00A54FFA" w:rsidRPr="00A8642D" w:rsidRDefault="00000000">
      <w:pPr>
        <w:pStyle w:val="Heading3"/>
        <w:spacing w:before="45"/>
        <w:rPr>
          <w:sz w:val="22"/>
          <w:szCs w:val="22"/>
        </w:rPr>
      </w:pPr>
      <w:r w:rsidRPr="00A8642D">
        <w:rPr>
          <w:b w:val="0"/>
          <w:bCs w:val="0"/>
          <w:sz w:val="22"/>
          <w:szCs w:val="22"/>
          <w:lang w:val="es"/>
        </w:rPr>
        <w:br w:type="column"/>
      </w:r>
      <w:r w:rsidRPr="00A8642D">
        <w:rPr>
          <w:b w:val="0"/>
          <w:bCs w:val="0"/>
          <w:sz w:val="22"/>
          <w:szCs w:val="22"/>
          <w:lang w:val="es"/>
        </w:rPr>
        <w:t>¿Qué sucede cuando empieza el proceso de IDP?</w:t>
      </w:r>
    </w:p>
    <w:p w14:paraId="07365E95" w14:textId="77777777" w:rsidR="00A54FFA" w:rsidRPr="00A8642D" w:rsidRDefault="00000000">
      <w:pPr>
        <w:pStyle w:val="BodyText"/>
        <w:ind w:left="470" w:right="65"/>
        <w:rPr>
          <w:sz w:val="22"/>
          <w:szCs w:val="22"/>
        </w:rPr>
      </w:pPr>
      <w:r w:rsidRPr="00A8642D">
        <w:rPr>
          <w:sz w:val="22"/>
          <w:szCs w:val="22"/>
          <w:lang w:val="es"/>
        </w:rPr>
        <w:t>Te monitorizaremos a ti y a tu bebé de cerca durante el proceso de inducción. Mientras estás a la espera de empezar con el trabajo de parto, te animamos a:</w:t>
      </w:r>
    </w:p>
    <w:p w14:paraId="4BD722D1" w14:textId="77777777" w:rsidR="00A54FFA" w:rsidRPr="00A8642D" w:rsidRDefault="00000000">
      <w:pPr>
        <w:pStyle w:val="BodyText"/>
        <w:ind w:left="470" w:right="63"/>
        <w:rPr>
          <w:sz w:val="22"/>
          <w:szCs w:val="22"/>
        </w:rPr>
      </w:pPr>
      <w:r w:rsidRPr="00A8642D">
        <w:rPr>
          <w:sz w:val="22"/>
          <w:szCs w:val="22"/>
          <w:lang w:val="es"/>
        </w:rPr>
        <w:t>Mantenerte en movimiento:</w:t>
      </w:r>
      <w:r w:rsidRPr="00A8642D">
        <w:rPr>
          <w:b/>
          <w:bCs/>
          <w:sz w:val="22"/>
          <w:szCs w:val="22"/>
          <w:lang w:val="es"/>
        </w:rPr>
        <w:t xml:space="preserve"> </w:t>
      </w:r>
      <w:r w:rsidRPr="00A8642D">
        <w:rPr>
          <w:sz w:val="22"/>
          <w:szCs w:val="22"/>
          <w:lang w:val="es"/>
        </w:rPr>
        <w:t>Caminar, bailar, ponerte en cuclillas y utilizar una pelota de parto te ayuda a mantenerte erguida y activa, lo que puede ayudarte a entrar en trabajo de parto.</w:t>
      </w:r>
    </w:p>
    <w:p w14:paraId="175F779B" w14:textId="77777777" w:rsidR="00A54FFA" w:rsidRPr="00A8642D" w:rsidRDefault="00000000">
      <w:pPr>
        <w:pStyle w:val="BodyText"/>
        <w:spacing w:before="119"/>
        <w:ind w:left="470" w:right="60"/>
        <w:rPr>
          <w:sz w:val="22"/>
          <w:szCs w:val="22"/>
        </w:rPr>
      </w:pPr>
      <w:r w:rsidRPr="00A8642D">
        <w:rPr>
          <w:sz w:val="22"/>
          <w:szCs w:val="22"/>
          <w:lang w:val="es"/>
        </w:rPr>
        <w:t>Comer y beber:</w:t>
      </w:r>
      <w:r w:rsidRPr="00A8642D">
        <w:rPr>
          <w:b/>
          <w:bCs/>
          <w:sz w:val="22"/>
          <w:szCs w:val="22"/>
          <w:lang w:val="es"/>
        </w:rPr>
        <w:t xml:space="preserve"> </w:t>
      </w:r>
      <w:r w:rsidRPr="00A8642D">
        <w:rPr>
          <w:sz w:val="22"/>
          <w:szCs w:val="22"/>
          <w:lang w:val="es"/>
        </w:rPr>
        <w:t xml:space="preserve">En las primeras fases de la IDP debes intentar comer y beber con normalidad para tener energía para el parto. </w:t>
      </w:r>
      <w:r w:rsidRPr="00A8642D">
        <w:rPr>
          <w:color w:val="202B31"/>
          <w:sz w:val="22"/>
          <w:szCs w:val="22"/>
          <w:lang w:val="es"/>
        </w:rPr>
        <w:t>Los refrigerios saludables como fruta deshidratada, barras de cereales o tortitas, y las bebidas isotónicas para deportistas pueden ayudarte a mantener altos tus niveles de energía.</w:t>
      </w:r>
    </w:p>
    <w:p w14:paraId="447C3A51" w14:textId="77777777" w:rsidR="00A54FFA" w:rsidRPr="00A8642D" w:rsidRDefault="00000000">
      <w:pPr>
        <w:pStyle w:val="BodyText"/>
        <w:spacing w:before="122"/>
        <w:ind w:left="470" w:right="64"/>
        <w:rPr>
          <w:sz w:val="22"/>
          <w:szCs w:val="22"/>
        </w:rPr>
      </w:pPr>
      <w:r w:rsidRPr="00A8642D">
        <w:rPr>
          <w:color w:val="202B31"/>
          <w:sz w:val="22"/>
          <w:szCs w:val="22"/>
          <w:lang w:val="es"/>
        </w:rPr>
        <w:t>Estar cómoda: Pregunta a tu comadrona por los diferentes tipos de analgésicos que puedes tomar en casa y en el hospital.</w:t>
      </w:r>
    </w:p>
    <w:p w14:paraId="6CD61A6D" w14:textId="77777777" w:rsidR="00A54FFA" w:rsidRPr="00A8642D" w:rsidRDefault="00000000">
      <w:pPr>
        <w:pStyle w:val="Heading3"/>
        <w:rPr>
          <w:sz w:val="22"/>
          <w:szCs w:val="22"/>
        </w:rPr>
      </w:pPr>
      <w:r w:rsidRPr="00A8642D">
        <w:rPr>
          <w:b w:val="0"/>
          <w:bCs w:val="0"/>
          <w:color w:val="202B31"/>
          <w:sz w:val="22"/>
          <w:szCs w:val="22"/>
          <w:lang w:val="es"/>
        </w:rPr>
        <w:t>¿Qué debo llevarme al hospital?</w:t>
      </w:r>
    </w:p>
    <w:p w14:paraId="6CC0C21A" w14:textId="77777777" w:rsidR="00A54FFA" w:rsidRPr="00A8642D" w:rsidRDefault="00000000">
      <w:pPr>
        <w:pStyle w:val="BodyText"/>
        <w:ind w:left="470" w:right="64"/>
        <w:rPr>
          <w:sz w:val="22"/>
          <w:szCs w:val="22"/>
        </w:rPr>
      </w:pPr>
      <w:r w:rsidRPr="00A8642D">
        <w:rPr>
          <w:color w:val="202B31"/>
          <w:sz w:val="22"/>
          <w:szCs w:val="22"/>
          <w:lang w:val="es"/>
        </w:rPr>
        <w:t>Prepara ropa y calzado con el que te sientas cómoda, así como artículos de higiene personal que puedas necesitar. El proceso de inducción puede llevar un tiempo, así que tráete algo para pasar el tiempo: los libros, las revistas y los juegos de cartas son populares. Puedes traer tu teléfono móvil y otros aparatos electrónicos al hospital, aunque el hospital no se hace responsable de su seguridad si los dejas sin supervisión. Te pedimos que utilices auriculares cuando escuches tus dispositivos, y que solo hagas llamadas telefónicas a horas razonables para permitir que las otras personas de la planta puedan descansar. También debes traer algunos artículos para tu bebé, como ropa y pañales.</w:t>
      </w:r>
    </w:p>
    <w:p w14:paraId="39E35F0D" w14:textId="77777777" w:rsidR="00A54FFA" w:rsidRPr="00A8642D" w:rsidRDefault="00000000">
      <w:pPr>
        <w:pStyle w:val="BodyText"/>
        <w:spacing w:before="121"/>
        <w:ind w:left="470" w:right="67"/>
        <w:rPr>
          <w:sz w:val="22"/>
          <w:szCs w:val="22"/>
        </w:rPr>
      </w:pPr>
      <w:r w:rsidRPr="00A8642D">
        <w:rPr>
          <w:color w:val="202B31"/>
          <w:sz w:val="22"/>
          <w:szCs w:val="22"/>
          <w:lang w:val="es"/>
        </w:rPr>
        <w:t>Te proporcionaremos comidas y bebidas mientras estés en la planta. También puedes visitar las tiendas y las cafeterías que hay en el centro hospitalario. Lamentablemente, no contamos con instalaciones para almacenar o recalentar comida en las plantas.</w:t>
      </w:r>
    </w:p>
    <w:p w14:paraId="62C23616" w14:textId="77777777" w:rsidR="00A54FFA" w:rsidRPr="00A8642D" w:rsidRDefault="00000000">
      <w:pPr>
        <w:pStyle w:val="Heading3"/>
        <w:rPr>
          <w:sz w:val="22"/>
          <w:szCs w:val="22"/>
        </w:rPr>
      </w:pPr>
      <w:r w:rsidRPr="00A8642D">
        <w:rPr>
          <w:b w:val="0"/>
          <w:bCs w:val="0"/>
          <w:color w:val="202B31"/>
          <w:sz w:val="22"/>
          <w:szCs w:val="22"/>
          <w:lang w:val="es"/>
        </w:rPr>
        <w:t>¿Qué sucede con mi acompañante en el parto?</w:t>
      </w:r>
    </w:p>
    <w:p w14:paraId="4FA1C4F4" w14:textId="77777777" w:rsidR="00A54FFA" w:rsidRPr="00A8642D" w:rsidRDefault="00000000">
      <w:pPr>
        <w:pStyle w:val="BodyText"/>
        <w:ind w:left="470" w:right="64"/>
        <w:rPr>
          <w:sz w:val="22"/>
          <w:szCs w:val="22"/>
        </w:rPr>
      </w:pPr>
      <w:r w:rsidRPr="00A8642D">
        <w:rPr>
          <w:color w:val="202B31"/>
          <w:sz w:val="22"/>
          <w:szCs w:val="22"/>
          <w:lang w:val="es"/>
        </w:rPr>
        <w:t>Un acompañante en el parto es bienvenido a quedarse durante el proceso de inducción, pero no podemos proporcionarle una cama o comida. Te pedimos que no compartas tu cama con tu acompañante en el parto, pues existen límites de peso seguros para cada cama, lo que puede provocar que se rompa. Además, compartir tu cama en el hospital puede incrementar tus posibilidades de desarrollar una infección. Por favor, pide a tu acompañante en el parto que informe a tu familia y amigos de cómo estás, pues el personal no puede revelar información confidencial por teléfono.</w:t>
      </w:r>
    </w:p>
    <w:p w14:paraId="0C0DB21D" w14:textId="77777777" w:rsidR="00A54FFA" w:rsidRPr="00A8642D" w:rsidRDefault="00000000">
      <w:pPr>
        <w:spacing w:before="123"/>
        <w:ind w:left="791"/>
        <w:jc w:val="center"/>
        <w:rPr>
          <w:sz w:val="18"/>
          <w:szCs w:val="20"/>
        </w:rPr>
      </w:pPr>
      <w:r w:rsidRPr="00A8642D">
        <w:rPr>
          <w:sz w:val="18"/>
          <w:szCs w:val="20"/>
          <w:lang w:val="es"/>
        </w:rPr>
        <w:t>3</w:t>
      </w:r>
    </w:p>
    <w:sectPr w:rsidR="00A54FFA" w:rsidRPr="00A8642D">
      <w:pgSz w:w="16840" w:h="11910" w:orient="landscape"/>
      <w:pgMar w:top="320" w:right="708" w:bottom="280" w:left="283" w:header="720" w:footer="720" w:gutter="0"/>
      <w:cols w:num="2" w:space="720" w:equalWidth="0">
        <w:col w:w="7867" w:space="49"/>
        <w:col w:w="79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967A5"/>
    <w:multiLevelType w:val="hybridMultilevel"/>
    <w:tmpl w:val="F792464E"/>
    <w:lvl w:ilvl="0" w:tplc="AFACF80A">
      <w:numFmt w:val="bullet"/>
      <w:lvlText w:val=""/>
      <w:lvlJc w:val="left"/>
      <w:pPr>
        <w:ind w:left="1046" w:hanging="567"/>
      </w:pPr>
      <w:rPr>
        <w:rFonts w:ascii="Symbol" w:eastAsia="Symbol" w:hAnsi="Symbol" w:cs="Symbol" w:hint="default"/>
        <w:spacing w:val="0"/>
        <w:w w:val="101"/>
        <w:lang w:val="en-US" w:eastAsia="en-US" w:bidi="ar-SA"/>
      </w:rPr>
    </w:lvl>
    <w:lvl w:ilvl="1" w:tplc="47B2CF46">
      <w:numFmt w:val="bullet"/>
      <w:lvlText w:val="•"/>
      <w:lvlJc w:val="left"/>
      <w:pPr>
        <w:ind w:left="1729" w:hanging="567"/>
      </w:pPr>
      <w:rPr>
        <w:rFonts w:hint="default"/>
        <w:lang w:val="en-US" w:eastAsia="en-US" w:bidi="ar-SA"/>
      </w:rPr>
    </w:lvl>
    <w:lvl w:ilvl="2" w:tplc="6100B18A">
      <w:numFmt w:val="bullet"/>
      <w:lvlText w:val="•"/>
      <w:lvlJc w:val="left"/>
      <w:pPr>
        <w:ind w:left="2419" w:hanging="567"/>
      </w:pPr>
      <w:rPr>
        <w:rFonts w:hint="default"/>
        <w:lang w:val="en-US" w:eastAsia="en-US" w:bidi="ar-SA"/>
      </w:rPr>
    </w:lvl>
    <w:lvl w:ilvl="3" w:tplc="74CA0DD8">
      <w:numFmt w:val="bullet"/>
      <w:lvlText w:val="•"/>
      <w:lvlJc w:val="left"/>
      <w:pPr>
        <w:ind w:left="3108" w:hanging="567"/>
      </w:pPr>
      <w:rPr>
        <w:rFonts w:hint="default"/>
        <w:lang w:val="en-US" w:eastAsia="en-US" w:bidi="ar-SA"/>
      </w:rPr>
    </w:lvl>
    <w:lvl w:ilvl="4" w:tplc="7994C918">
      <w:numFmt w:val="bullet"/>
      <w:lvlText w:val="•"/>
      <w:lvlJc w:val="left"/>
      <w:pPr>
        <w:ind w:left="3798" w:hanging="567"/>
      </w:pPr>
      <w:rPr>
        <w:rFonts w:hint="default"/>
        <w:lang w:val="en-US" w:eastAsia="en-US" w:bidi="ar-SA"/>
      </w:rPr>
    </w:lvl>
    <w:lvl w:ilvl="5" w:tplc="41A4C43E">
      <w:numFmt w:val="bullet"/>
      <w:lvlText w:val="•"/>
      <w:lvlJc w:val="left"/>
      <w:pPr>
        <w:ind w:left="4488" w:hanging="567"/>
      </w:pPr>
      <w:rPr>
        <w:rFonts w:hint="default"/>
        <w:lang w:val="en-US" w:eastAsia="en-US" w:bidi="ar-SA"/>
      </w:rPr>
    </w:lvl>
    <w:lvl w:ilvl="6" w:tplc="F34A01F0">
      <w:numFmt w:val="bullet"/>
      <w:lvlText w:val="•"/>
      <w:lvlJc w:val="left"/>
      <w:pPr>
        <w:ind w:left="5177" w:hanging="567"/>
      </w:pPr>
      <w:rPr>
        <w:rFonts w:hint="default"/>
        <w:lang w:val="en-US" w:eastAsia="en-US" w:bidi="ar-SA"/>
      </w:rPr>
    </w:lvl>
    <w:lvl w:ilvl="7" w:tplc="A1C20CB4">
      <w:numFmt w:val="bullet"/>
      <w:lvlText w:val="•"/>
      <w:lvlJc w:val="left"/>
      <w:pPr>
        <w:ind w:left="5867" w:hanging="567"/>
      </w:pPr>
      <w:rPr>
        <w:rFonts w:hint="default"/>
        <w:lang w:val="en-US" w:eastAsia="en-US" w:bidi="ar-SA"/>
      </w:rPr>
    </w:lvl>
    <w:lvl w:ilvl="8" w:tplc="94EC8690">
      <w:numFmt w:val="bullet"/>
      <w:lvlText w:val="•"/>
      <w:lvlJc w:val="left"/>
      <w:pPr>
        <w:ind w:left="6556" w:hanging="567"/>
      </w:pPr>
      <w:rPr>
        <w:rFonts w:hint="default"/>
        <w:lang w:val="en-US" w:eastAsia="en-US" w:bidi="ar-SA"/>
      </w:rPr>
    </w:lvl>
  </w:abstractNum>
  <w:num w:numId="1" w16cid:durableId="21123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54FFA"/>
    <w:rsid w:val="00006120"/>
    <w:rsid w:val="0021402C"/>
    <w:rsid w:val="00310848"/>
    <w:rsid w:val="00A54FFA"/>
    <w:rsid w:val="00A864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AFB5"/>
  <w15:docId w15:val="{81BE2F76-96B2-437A-8623-A34C748B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 w:line="688" w:lineRule="exact"/>
      <w:ind w:left="1290"/>
      <w:jc w:val="center"/>
      <w:outlineLvl w:val="0"/>
    </w:pPr>
    <w:rPr>
      <w:b/>
      <w:bCs/>
      <w:sz w:val="31"/>
      <w:szCs w:val="31"/>
    </w:rPr>
  </w:style>
  <w:style w:type="paragraph" w:styleId="Heading2">
    <w:name w:val="heading 2"/>
    <w:basedOn w:val="Normal"/>
    <w:uiPriority w:val="9"/>
    <w:unhideWhenUsed/>
    <w:qFormat/>
    <w:pPr>
      <w:ind w:left="480"/>
      <w:outlineLvl w:val="1"/>
    </w:pPr>
    <w:rPr>
      <w:b/>
      <w:bCs/>
      <w:sz w:val="28"/>
      <w:szCs w:val="28"/>
    </w:rPr>
  </w:style>
  <w:style w:type="paragraph" w:styleId="Heading3">
    <w:name w:val="heading 3"/>
    <w:basedOn w:val="Normal"/>
    <w:uiPriority w:val="9"/>
    <w:unhideWhenUsed/>
    <w:qFormat/>
    <w:pPr>
      <w:spacing w:before="120"/>
      <w:ind w:left="47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sz w:val="24"/>
      <w:szCs w:val="24"/>
    </w:rPr>
  </w:style>
  <w:style w:type="paragraph" w:styleId="ListParagraph">
    <w:name w:val="List Paragraph"/>
    <w:basedOn w:val="Normal"/>
    <w:uiPriority w:val="1"/>
    <w:qFormat/>
    <w:pPr>
      <w:spacing w:before="120"/>
      <w:ind w:left="1046"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Katie</dc:creator>
  <cp:lastModifiedBy>Zhou, Wenyi</cp:lastModifiedBy>
  <cp:revision>3</cp:revision>
  <dcterms:created xsi:type="dcterms:W3CDTF">2025-12-02T10:20:00Z</dcterms:created>
  <dcterms:modified xsi:type="dcterms:W3CDTF">2026-03-24T17:37:00Z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Publisher for Microsoft 365</vt:lpwstr>
  </property>
  <property fmtid="{D5CDD505-2E9C-101B-9397-08002B2CF9AE}" pid="4" name="LastSaved">
    <vt:filetime>2025-12-02T00:00:00Z</vt:filetime>
  </property>
  <property fmtid="{D5CDD505-2E9C-101B-9397-08002B2CF9AE}" pid="5" name="Producer">
    <vt:lpwstr>Microsoft® Publisher for Microsoft 365</vt:lpwstr>
  </property>
</Properties>
</file>