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EEE47" w14:textId="77777777" w:rsidR="00706C3C" w:rsidRPr="00922FF2" w:rsidRDefault="005B75A8" w:rsidP="00706C3C">
      <w:pPr>
        <w:pStyle w:val="Heading1"/>
        <w:spacing w:before="0" w:after="60"/>
        <w:jc w:val="center"/>
        <w:rPr>
          <w:rFonts w:asciiTheme="minorHAnsi" w:hAnsiTheme="minorHAnsi" w:cstheme="minorHAnsi"/>
          <w:b w:val="0"/>
          <w:sz w:val="28"/>
          <w:szCs w:val="22"/>
          <w:shd w:val="clear" w:color="auto" w:fill="FFFFFF"/>
        </w:rPr>
      </w:pPr>
      <w:r w:rsidRPr="005B75A8">
        <w:rPr>
          <w:rFonts w:asciiTheme="minorHAnsi" w:hAnsiTheme="minorHAnsi" w:cstheme="minorHAnsi"/>
          <w:noProof/>
          <w:sz w:val="28"/>
          <w:szCs w:val="22"/>
          <w:shd w:val="clear" w:color="auto" w:fill="FFFFFF"/>
          <w:lang w:eastAsia="en-GB"/>
        </w:rPr>
        <w:drawing>
          <wp:inline distT="0" distB="0" distL="0" distR="0" wp14:anchorId="4D6B1FCF" wp14:editId="21B02B08">
            <wp:extent cx="5731510" cy="723174"/>
            <wp:effectExtent l="19050" t="0" r="254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/>
                    <pic:cNvPicPr/>
                  </pic:nvPicPr>
                  <pic:blipFill rotWithShape="1">
                    <a:blip r:embed="rId5" cstate="print"/>
                    <a:srcRect l="5912" t="37022" r="56220" b="44860"/>
                    <a:stretch/>
                  </pic:blipFill>
                  <pic:spPr bwMode="auto">
                    <a:xfrm>
                      <a:off x="0" y="0"/>
                      <a:ext cx="5731510" cy="7231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B75A8">
        <w:rPr>
          <w:rFonts w:asciiTheme="minorHAnsi" w:hAnsiTheme="minorHAnsi" w:cstheme="minorHAnsi"/>
          <w:noProof/>
          <w:sz w:val="28"/>
          <w:szCs w:val="22"/>
          <w:shd w:val="clear" w:color="auto" w:fill="FFFFFF"/>
          <w:lang w:eastAsia="en-GB"/>
        </w:rPr>
        <w:br/>
      </w:r>
      <w:r w:rsidR="00706C3C" w:rsidRPr="00922FF2">
        <w:rPr>
          <w:rFonts w:asciiTheme="minorHAnsi" w:hAnsiTheme="minorHAnsi" w:cstheme="minorHAnsi"/>
          <w:sz w:val="28"/>
          <w:szCs w:val="22"/>
          <w:shd w:val="clear" w:color="auto" w:fill="FFFFFF"/>
        </w:rPr>
        <w:t>Lothian Clinical Academic Pathways Partnership</w:t>
      </w:r>
    </w:p>
    <w:p w14:paraId="7E37D5A8" w14:textId="77777777" w:rsidR="00706C3C" w:rsidRDefault="00706C3C" w:rsidP="00706C3C">
      <w:pPr>
        <w:pStyle w:val="Heading1"/>
        <w:spacing w:before="0" w:after="60"/>
        <w:jc w:val="center"/>
        <w:rPr>
          <w:rFonts w:asciiTheme="minorHAnsi" w:hAnsiTheme="minorHAnsi" w:cstheme="minorHAnsi"/>
          <w:sz w:val="28"/>
          <w:szCs w:val="22"/>
          <w:shd w:val="clear" w:color="auto" w:fill="FFFFFF"/>
        </w:rPr>
      </w:pPr>
      <w:r w:rsidRPr="00922FF2">
        <w:rPr>
          <w:rFonts w:asciiTheme="minorHAnsi" w:hAnsiTheme="minorHAnsi" w:cstheme="minorHAnsi"/>
          <w:sz w:val="28"/>
          <w:szCs w:val="22"/>
          <w:shd w:val="clear" w:color="auto" w:fill="FFFFFF"/>
        </w:rPr>
        <w:t>Clinical Academic Research Gateway Funding</w:t>
      </w:r>
    </w:p>
    <w:p w14:paraId="3F0C9341" w14:textId="77777777" w:rsidR="00706C3C" w:rsidRDefault="00706C3C" w:rsidP="00706C3C">
      <w:pPr>
        <w:pStyle w:val="Heading1"/>
        <w:spacing w:before="0" w:after="60"/>
        <w:jc w:val="center"/>
        <w:rPr>
          <w:rFonts w:asciiTheme="minorHAnsi" w:hAnsiTheme="minorHAnsi" w:cstheme="minorHAnsi"/>
          <w:sz w:val="28"/>
        </w:rPr>
      </w:pPr>
      <w:r w:rsidRPr="00CF7F90">
        <w:rPr>
          <w:rFonts w:asciiTheme="minorHAnsi" w:hAnsiTheme="minorHAnsi" w:cstheme="minorHAnsi"/>
          <w:sz w:val="28"/>
        </w:rPr>
        <w:t>First Steps into Research Opportunities</w:t>
      </w:r>
      <w:r w:rsidR="00CF7F90">
        <w:rPr>
          <w:rFonts w:asciiTheme="minorHAnsi" w:hAnsiTheme="minorHAnsi" w:cstheme="minorHAnsi"/>
          <w:sz w:val="28"/>
        </w:rPr>
        <w:t xml:space="preserve"> 202</w:t>
      </w:r>
      <w:r w:rsidR="00A92C48">
        <w:rPr>
          <w:rFonts w:asciiTheme="minorHAnsi" w:hAnsiTheme="minorHAnsi" w:cstheme="minorHAnsi"/>
          <w:sz w:val="28"/>
        </w:rPr>
        <w:t>7</w:t>
      </w:r>
    </w:p>
    <w:p w14:paraId="6079FCF4" w14:textId="77777777" w:rsidR="003A6B5F" w:rsidRDefault="0074153A" w:rsidP="003A6B5F">
      <w:pPr>
        <w:spacing w:after="860"/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6F9BC8" wp14:editId="08BDBE89">
                <wp:simplePos x="0" y="0"/>
                <wp:positionH relativeFrom="column">
                  <wp:posOffset>21590</wp:posOffset>
                </wp:positionH>
                <wp:positionV relativeFrom="paragraph">
                  <wp:posOffset>133985</wp:posOffset>
                </wp:positionV>
                <wp:extent cx="5759450" cy="470535"/>
                <wp:effectExtent l="24130" t="19685" r="26670" b="24130"/>
                <wp:wrapNone/>
                <wp:docPr id="15012450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470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045862" w14:textId="77777777" w:rsidR="003A6B5F" w:rsidRDefault="003A6B5F" w:rsidP="003A6B5F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Full details of the Gateway awards scheme can be found at:</w:t>
                            </w:r>
                          </w:p>
                          <w:p w14:paraId="6ABF6BDC" w14:textId="77777777" w:rsidR="003A6B5F" w:rsidRDefault="003A6B5F" w:rsidP="003A6B5F">
                            <w:pPr>
                              <w:spacing w:after="0" w:line="240" w:lineRule="auto"/>
                              <w:jc w:val="center"/>
                            </w:pPr>
                            <w:hyperlink r:id="rId6" w:history="1">
                              <w:r>
                                <w:rPr>
                                  <w:rStyle w:val="Hyperlink"/>
                                </w:rPr>
                                <w:t>Lothian Clinical Academic Research Gateway Awards – Health and Care Professions Research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6F9BC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7pt;margin-top:10.55pt;width:453.5pt;height:37.0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" strokeweight="3pt">
                <v:stroke linestyle="thinThin"/>
                <v:textbox style="mso-fit-shape-to-text:t">
                  <w:txbxContent>
                    <w:p w14:paraId="17674DE3" w14:textId="77777777" w:rsidR="003A6B5F" w:rsidRDefault="003A6B5F" w:rsidP="003A6B5F">
                      <w:pPr>
                        <w:spacing w:after="0" w:line="240" w:lineRule="auto"/>
                        <w:jc w:val="center"/>
                      </w:pPr>
                      <w:r>
                        <w:t>Full details of the Gateway awards scheme can be found at:</w:t>
                      </w:r>
                    </w:p>
                    <w:p w14:paraId="7123C6BE" w14:textId="77777777" w:rsidR="003A6B5F" w:rsidRDefault="003A6B5F" w:rsidP="003A6B5F">
                      <w:pPr>
                        <w:spacing w:after="0" w:line="240" w:lineRule="auto"/>
                        <w:jc w:val="center"/>
                      </w:pPr>
                      <w:hyperlink r:id="rId7" w:history="1">
                        <w:r>
                          <w:rPr>
                            <w:rStyle w:val="Hyperlink"/>
                          </w:rPr>
                          <w:t>Lothian Clinical Academic Research Gateway Awards – Health and Care Professions Research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9493" w:type="dxa"/>
        <w:tblLayout w:type="fixed"/>
        <w:tblLook w:val="04A0" w:firstRow="1" w:lastRow="0" w:firstColumn="1" w:lastColumn="0" w:noHBand="0" w:noVBand="1"/>
      </w:tblPr>
      <w:tblGrid>
        <w:gridCol w:w="3009"/>
        <w:gridCol w:w="6484"/>
      </w:tblGrid>
      <w:tr w:rsidR="00706C3C" w14:paraId="04047C58" w14:textId="77777777" w:rsidTr="004371DB">
        <w:trPr>
          <w:cantSplit/>
          <w:trHeight w:val="1097"/>
        </w:trPr>
        <w:tc>
          <w:tcPr>
            <w:tcW w:w="3053" w:type="dxa"/>
            <w:tcMar>
              <w:top w:w="70" w:type="dxa"/>
              <w:left w:w="85" w:type="dxa"/>
              <w:bottom w:w="60" w:type="dxa"/>
              <w:right w:w="85" w:type="dxa"/>
            </w:tcMar>
          </w:tcPr>
          <w:p w14:paraId="42E9FC66" w14:textId="77777777" w:rsidR="006B669F" w:rsidRPr="004371DB" w:rsidRDefault="00706C3C" w:rsidP="00706C3C">
            <w:pPr>
              <w:spacing w:after="60"/>
              <w:rPr>
                <w:rFonts w:asciiTheme="minorHAnsi" w:hAnsiTheme="minorHAnsi" w:cstheme="minorHAnsi"/>
              </w:rPr>
            </w:pPr>
            <w:r w:rsidRPr="004371DB">
              <w:rPr>
                <w:rFonts w:asciiTheme="minorHAnsi" w:hAnsiTheme="minorHAnsi" w:cstheme="minorHAnsi"/>
                <w:color w:val="27292D"/>
              </w:rPr>
              <w:t>Institution &amp; Department</w:t>
            </w:r>
          </w:p>
          <w:p w14:paraId="2584B424" w14:textId="77777777" w:rsidR="00CF7F90" w:rsidRPr="004371DB" w:rsidRDefault="006B669F" w:rsidP="00706C3C">
            <w:pPr>
              <w:spacing w:after="60"/>
              <w:rPr>
                <w:rFonts w:asciiTheme="minorHAnsi" w:hAnsiTheme="minorHAnsi" w:cstheme="minorHAnsi"/>
              </w:rPr>
            </w:pPr>
            <w:r w:rsidRPr="004371DB">
              <w:rPr>
                <w:rFonts w:asciiTheme="minorHAnsi" w:hAnsiTheme="minorHAnsi" w:cstheme="minorHAnsi"/>
                <w:color w:val="27292D"/>
              </w:rPr>
              <w:t>Research Centre (if appropriate)</w:t>
            </w:r>
          </w:p>
        </w:tc>
        <w:tc>
          <w:tcPr>
            <w:tcW w:w="6581" w:type="dxa"/>
            <w:tcMar>
              <w:top w:w="70" w:type="dxa"/>
              <w:left w:w="85" w:type="dxa"/>
              <w:bottom w:w="60" w:type="dxa"/>
              <w:right w:w="85" w:type="dxa"/>
            </w:tcMar>
          </w:tcPr>
          <w:p w14:paraId="6EFF8FCF" w14:textId="77777777" w:rsidR="007B500A" w:rsidRDefault="007C6344">
            <w:pPr>
              <w:keepLines/>
              <w:spacing w:after="100"/>
            </w:pPr>
            <w:r>
              <w:rPr>
                <w:color w:val="27292D"/>
              </w:rPr>
              <w:t>Edinburgh Napier University, School of Health and Social Care</w:t>
            </w:r>
          </w:p>
          <w:p w14:paraId="5D3CE405" w14:textId="77777777" w:rsidR="007B500A" w:rsidRDefault="007C6344">
            <w:pPr>
              <w:keepLines/>
              <w:spacing w:after="100"/>
            </w:pPr>
            <w:r>
              <w:rPr>
                <w:color w:val="27292D"/>
              </w:rPr>
              <w:t>Centre for Global Health and Biomedicine</w:t>
            </w:r>
          </w:p>
        </w:tc>
      </w:tr>
      <w:tr w:rsidR="00A92C48" w14:paraId="0C35512E" w14:textId="77777777" w:rsidTr="00061461">
        <w:trPr>
          <w:cantSplit/>
        </w:trPr>
        <w:tc>
          <w:tcPr>
            <w:tcW w:w="3053" w:type="dxa"/>
            <w:tcMar>
              <w:top w:w="70" w:type="dxa"/>
              <w:left w:w="85" w:type="dxa"/>
              <w:bottom w:w="60" w:type="dxa"/>
              <w:right w:w="85" w:type="dxa"/>
            </w:tcMar>
          </w:tcPr>
          <w:p w14:paraId="3B22FE5B" w14:textId="77777777" w:rsidR="00A92C48" w:rsidRPr="004371DB" w:rsidRDefault="00A92C48" w:rsidP="00061461">
            <w:pPr>
              <w:spacing w:after="60"/>
              <w:rPr>
                <w:rFonts w:asciiTheme="minorHAnsi" w:hAnsiTheme="minorHAnsi" w:cstheme="minorHAnsi"/>
              </w:rPr>
            </w:pPr>
            <w:r w:rsidRPr="004371DB">
              <w:rPr>
                <w:rFonts w:asciiTheme="minorHAnsi" w:hAnsiTheme="minorHAnsi" w:cstheme="minorHAnsi"/>
                <w:color w:val="27292D"/>
              </w:rPr>
              <w:t>Research Project/Programme Title</w:t>
            </w:r>
          </w:p>
          <w:p w14:paraId="4884C05A" w14:textId="77777777" w:rsidR="00A92C48" w:rsidRPr="00A92C48" w:rsidRDefault="00A92C48" w:rsidP="00061461">
            <w:pPr>
              <w:spacing w:after="60"/>
              <w:rPr>
                <w:b/>
                <w:bCs/>
              </w:rPr>
            </w:pPr>
          </w:p>
        </w:tc>
        <w:tc>
          <w:tcPr>
            <w:tcW w:w="6581" w:type="dxa"/>
            <w:tcMar>
              <w:top w:w="70" w:type="dxa"/>
              <w:left w:w="85" w:type="dxa"/>
              <w:bottom w:w="60" w:type="dxa"/>
              <w:right w:w="85" w:type="dxa"/>
            </w:tcMar>
          </w:tcPr>
          <w:p w14:paraId="27D407A0" w14:textId="77777777" w:rsidR="007B500A" w:rsidRPr="00637822" w:rsidRDefault="007C6344">
            <w:pPr>
              <w:keepLines/>
              <w:spacing w:after="100"/>
              <w:rPr>
                <w:bCs/>
              </w:rPr>
            </w:pPr>
            <w:r w:rsidRPr="00637822">
              <w:rPr>
                <w:bCs/>
                <w:color w:val="27292D"/>
              </w:rPr>
              <w:t>Who has a caesarean</w:t>
            </w:r>
            <w:r w:rsidR="004371DB" w:rsidRPr="00637822">
              <w:rPr>
                <w:bCs/>
                <w:color w:val="27292D"/>
              </w:rPr>
              <w:t xml:space="preserve">, </w:t>
            </w:r>
            <w:r w:rsidRPr="00637822">
              <w:rPr>
                <w:bCs/>
                <w:color w:val="27292D"/>
              </w:rPr>
              <w:t>and why? Learning epidemiological and causal reasoning through inequalities in Scottish maternity care</w:t>
            </w:r>
          </w:p>
        </w:tc>
      </w:tr>
      <w:tr w:rsidR="00706C3C" w14:paraId="4FE44B53" w14:textId="77777777" w:rsidTr="003C056C">
        <w:trPr>
          <w:cantSplit/>
        </w:trPr>
        <w:tc>
          <w:tcPr>
            <w:tcW w:w="3053" w:type="dxa"/>
            <w:tcMar>
              <w:top w:w="70" w:type="dxa"/>
              <w:left w:w="85" w:type="dxa"/>
              <w:bottom w:w="60" w:type="dxa"/>
              <w:right w:w="85" w:type="dxa"/>
            </w:tcMar>
          </w:tcPr>
          <w:p w14:paraId="74781332" w14:textId="77777777" w:rsidR="00706C3C" w:rsidRPr="004371DB" w:rsidRDefault="00CF7F90" w:rsidP="00706C3C">
            <w:pPr>
              <w:spacing w:after="60"/>
              <w:rPr>
                <w:rFonts w:asciiTheme="minorHAnsi" w:hAnsiTheme="minorHAnsi" w:cstheme="minorHAnsi"/>
              </w:rPr>
            </w:pPr>
            <w:r w:rsidRPr="004371DB">
              <w:rPr>
                <w:rFonts w:asciiTheme="minorHAnsi" w:hAnsiTheme="minorHAnsi" w:cstheme="minorHAnsi"/>
                <w:color w:val="27292D"/>
              </w:rPr>
              <w:t xml:space="preserve">Contact – </w:t>
            </w:r>
            <w:r w:rsidRPr="004371DB">
              <w:rPr>
                <w:rFonts w:asciiTheme="minorHAnsi" w:hAnsiTheme="minorHAnsi" w:cstheme="minorHAnsi"/>
                <w:i/>
                <w:iCs/>
                <w:color w:val="27292D"/>
              </w:rPr>
              <w:t>name, role &amp; email</w:t>
            </w:r>
          </w:p>
          <w:p w14:paraId="3D855BED" w14:textId="77777777" w:rsidR="00CF7F90" w:rsidRPr="00A92C48" w:rsidRDefault="00CF7F90" w:rsidP="00706C3C">
            <w:pPr>
              <w:spacing w:after="60"/>
              <w:rPr>
                <w:b/>
                <w:bCs/>
              </w:rPr>
            </w:pPr>
          </w:p>
        </w:tc>
        <w:tc>
          <w:tcPr>
            <w:tcW w:w="6581" w:type="dxa"/>
            <w:tcMar>
              <w:top w:w="70" w:type="dxa"/>
              <w:left w:w="85" w:type="dxa"/>
              <w:bottom w:w="60" w:type="dxa"/>
              <w:right w:w="85" w:type="dxa"/>
            </w:tcMar>
          </w:tcPr>
          <w:p w14:paraId="40246931" w14:textId="77777777" w:rsidR="007B500A" w:rsidRDefault="007C6344">
            <w:pPr>
              <w:keepLines/>
              <w:spacing w:after="100"/>
            </w:pPr>
            <w:r>
              <w:rPr>
                <w:b/>
                <w:color w:val="27292D"/>
              </w:rPr>
              <w:t>Martin Sharp</w:t>
            </w:r>
            <w:r>
              <w:rPr>
                <w:color w:val="27292D"/>
              </w:rPr>
              <w:t>, Lecturer in Epidemiology and Public Health; MPH Programme Lead; m.sharp@napier.ac.uk</w:t>
            </w:r>
          </w:p>
        </w:tc>
      </w:tr>
      <w:tr w:rsidR="00706C3C" w14:paraId="7BE53DA9" w14:textId="77777777" w:rsidTr="003C056C">
        <w:tc>
          <w:tcPr>
            <w:tcW w:w="3053" w:type="dxa"/>
            <w:tcMar>
              <w:top w:w="70" w:type="dxa"/>
              <w:left w:w="85" w:type="dxa"/>
              <w:bottom w:w="60" w:type="dxa"/>
              <w:right w:w="85" w:type="dxa"/>
            </w:tcMar>
          </w:tcPr>
          <w:p w14:paraId="042A96C8" w14:textId="77777777" w:rsidR="00706C3C" w:rsidRPr="004371DB" w:rsidRDefault="005C2243" w:rsidP="00706C3C">
            <w:pPr>
              <w:spacing w:after="60"/>
              <w:rPr>
                <w:rFonts w:asciiTheme="minorHAnsi" w:hAnsiTheme="minorHAnsi" w:cstheme="minorHAnsi"/>
              </w:rPr>
            </w:pPr>
            <w:r w:rsidRPr="004371DB">
              <w:rPr>
                <w:rFonts w:asciiTheme="minorHAnsi" w:hAnsiTheme="minorHAnsi" w:cstheme="minorHAnsi"/>
                <w:color w:val="27292D"/>
              </w:rPr>
              <w:t>Details of</w:t>
            </w:r>
            <w:r w:rsidR="00CF7F90" w:rsidRPr="004371DB">
              <w:rPr>
                <w:rFonts w:asciiTheme="minorHAnsi" w:hAnsiTheme="minorHAnsi" w:cstheme="minorHAnsi"/>
                <w:color w:val="27292D"/>
              </w:rPr>
              <w:t xml:space="preserve"> Research Project </w:t>
            </w:r>
            <w:r w:rsidRPr="004371DB">
              <w:rPr>
                <w:rFonts w:asciiTheme="minorHAnsi" w:hAnsiTheme="minorHAnsi" w:cstheme="minorHAnsi"/>
                <w:color w:val="27292D"/>
              </w:rPr>
              <w:t>/ Programme</w:t>
            </w:r>
            <w:r w:rsidR="003C056C" w:rsidRPr="004371DB">
              <w:rPr>
                <w:rFonts w:asciiTheme="minorHAnsi" w:hAnsiTheme="minorHAnsi" w:cstheme="minorHAnsi"/>
                <w:color w:val="27292D"/>
              </w:rPr>
              <w:t xml:space="preserve"> – </w:t>
            </w:r>
            <w:r w:rsidR="003C056C" w:rsidRPr="004371DB">
              <w:rPr>
                <w:rFonts w:asciiTheme="minorHAnsi" w:hAnsiTheme="minorHAnsi" w:cstheme="minorHAnsi"/>
                <w:i/>
                <w:color w:val="27292D"/>
              </w:rPr>
              <w:t xml:space="preserve">including </w:t>
            </w:r>
            <w:r w:rsidRPr="004371DB">
              <w:rPr>
                <w:rFonts w:asciiTheme="minorHAnsi" w:hAnsiTheme="minorHAnsi" w:cstheme="minorHAnsi"/>
                <w:i/>
                <w:color w:val="27292D"/>
              </w:rPr>
              <w:t xml:space="preserve">funder, team members, </w:t>
            </w:r>
            <w:r w:rsidR="003C056C" w:rsidRPr="004371DB">
              <w:rPr>
                <w:rFonts w:asciiTheme="minorHAnsi" w:hAnsiTheme="minorHAnsi" w:cstheme="minorHAnsi"/>
                <w:i/>
                <w:color w:val="27292D"/>
              </w:rPr>
              <w:t>methodology</w:t>
            </w:r>
            <w:r w:rsidR="00F26BD2" w:rsidRPr="004371DB">
              <w:rPr>
                <w:rFonts w:asciiTheme="minorHAnsi" w:hAnsiTheme="minorHAnsi" w:cstheme="minorHAnsi"/>
                <w:i/>
                <w:color w:val="27292D"/>
              </w:rPr>
              <w:t>, stage of implementation</w:t>
            </w:r>
          </w:p>
          <w:p w14:paraId="70E73226" w14:textId="77777777" w:rsidR="00CF7F90" w:rsidRPr="00A92C48" w:rsidRDefault="00CF7F90" w:rsidP="00706C3C">
            <w:pPr>
              <w:spacing w:after="60"/>
              <w:rPr>
                <w:b/>
                <w:bCs/>
              </w:rPr>
            </w:pPr>
          </w:p>
        </w:tc>
        <w:tc>
          <w:tcPr>
            <w:tcW w:w="6581" w:type="dxa"/>
            <w:tcMar>
              <w:top w:w="70" w:type="dxa"/>
              <w:left w:w="85" w:type="dxa"/>
              <w:bottom w:w="60" w:type="dxa"/>
              <w:right w:w="85" w:type="dxa"/>
            </w:tcMar>
          </w:tcPr>
          <w:p w14:paraId="707BBE2F" w14:textId="77777777" w:rsidR="007B500A" w:rsidRDefault="007C6344">
            <w:pPr>
              <w:keepLines/>
              <w:spacing w:after="100"/>
            </w:pPr>
            <w:r>
              <w:rPr>
                <w:b/>
                <w:color w:val="27292D"/>
              </w:rPr>
              <w:t xml:space="preserve">The epidemiological puzzle. </w:t>
            </w:r>
            <w:r>
              <w:rPr>
                <w:color w:val="27292D"/>
              </w:rPr>
              <w:t>Scottish research identified higher elective caesarean rates among more socioeconomically advantaged women, while emergency caesarean patterns differed (Fairley, Dundas &amp; Leyland, 2011). Whether, and to what extent, these patterns persist today is uncertain. The apparent contrast raises important questions about clinical need, prior obstetric history, access, patient preferences, shared decision-making, and service organisation.</w:t>
            </w:r>
          </w:p>
          <w:p w14:paraId="563BFDF2" w14:textId="77777777" w:rsidR="008D2B6D" w:rsidRDefault="007C6344">
            <w:pPr>
              <w:spacing w:after="100"/>
            </w:pPr>
            <w:r>
              <w:rPr>
                <w:b/>
              </w:rPr>
              <w:t xml:space="preserve">Research question. </w:t>
            </w:r>
            <w:r>
              <w:t>How does socioeconomic deprivation relate to the likelihood of planned and emergency caesarean birth in Scotland, and what causal structures might explain differences between these associations?</w:t>
            </w:r>
          </w:p>
          <w:p w14:paraId="568A03E8" w14:textId="77777777" w:rsidR="007B500A" w:rsidRDefault="007C6344">
            <w:pPr>
              <w:keepLines/>
              <w:spacing w:after="100"/>
            </w:pPr>
            <w:r>
              <w:rPr>
                <w:b/>
              </w:rPr>
              <w:t xml:space="preserve">Educational purpose. </w:t>
            </w:r>
            <w:r>
              <w:t>Rather than merely describing a deprivation gradient, the placement will introduce an NHS professional to the way epidemiologists reason from observed associations towards causal explanations. The candidate will develop a precise research question; draw and critique a directed acyclic graph (DAG); examine confounding, mediation, selection bias, and confounding by indication; and consider which comparisons are interpretable, for whom, and under what assumptions. The participant’s clinical expertise will chal</w:t>
            </w:r>
            <w:r>
              <w:t>lenge and refine proposed pathways, including indications, patient preferences, and service organisation. Research decisions and the resulting protocol will be developed collaboratively. Induction of labour will also be considered as a possible precursor to emergency caesarean, rather than a separate outcome. Its clinical indications illustrate confounding by indication and possible mediation.</w:t>
            </w:r>
          </w:p>
          <w:p w14:paraId="07C4B0B4" w14:textId="77777777" w:rsidR="007B500A" w:rsidRDefault="007C6344">
            <w:pPr>
              <w:keepLines/>
              <w:spacing w:after="100"/>
            </w:pPr>
            <w:r>
              <w:rPr>
                <w:b/>
              </w:rPr>
              <w:lastRenderedPageBreak/>
              <w:t xml:space="preserve">Approach and realistic limits. </w:t>
            </w:r>
            <w:r>
              <w:t>Focused critical appraisal will be paired with examination of published Public Health Scotland maternity statistics, including area deprivation (SIMD) and caesarean classification where suitable cross-tabulations exist. Planned and emergency caesarean rates will, where possible, use appropriate birth-population denominators; these are distinct from proportions of caesareans classified as planned or emergency. Descriptive figures or synthetic teaching examples will explore how denominator choice, case mix, a</w:t>
            </w:r>
            <w:r>
              <w:t>nd stratification influence interpretation. SIMD describes areas, not individual socioeconomic position, and aggregate associations cannot establish causal effects.</w:t>
            </w:r>
          </w:p>
          <w:p w14:paraId="1FBB9F91" w14:textId="35EF1036" w:rsidR="007B500A" w:rsidRDefault="007C6344">
            <w:pPr>
              <w:keepLines/>
              <w:spacing w:after="100"/>
            </w:pPr>
            <w:r>
              <w:rPr>
                <w:b/>
              </w:rPr>
              <w:t xml:space="preserve">Programme, team, and stage. </w:t>
            </w:r>
            <w:r>
              <w:t>This is an early-stage, university-led Scottish maternity-epidemiology programme examining variation in obstetric intervention and maternal/neonatal outcomes; it is not currently externally funded</w:t>
            </w:r>
            <w:r w:rsidR="00637822">
              <w:t xml:space="preserve"> although funding will be applied for as part of a wider caesarean section programme of research</w:t>
            </w:r>
            <w:r>
              <w:t>. Martin Sharp (Edinburgh Napier University) will lead epidemiological mentoring. Dr Konstantina Karastoyanova-Gibson (Lecturer in Social Policy, University of Strathclyde) is a proposed academic collaborator, subject to</w:t>
            </w:r>
            <w:r>
              <w:t xml:space="preserve"> her agreement, bringing expertise in health inequalities, social policy, and research translation. The NHS participant’s clinical insight will inform causal hypotheses and policy-relevant research questions. Opportunities to engage NHS colleagues will be explored. No restricted patient-level data are needed; future individual-level research would require separate approvals and access.</w:t>
            </w:r>
          </w:p>
        </w:tc>
      </w:tr>
      <w:tr w:rsidR="00706C3C" w14:paraId="0D3E1078" w14:textId="77777777" w:rsidTr="003C056C">
        <w:tc>
          <w:tcPr>
            <w:tcW w:w="3053" w:type="dxa"/>
            <w:tcMar>
              <w:top w:w="70" w:type="dxa"/>
              <w:left w:w="85" w:type="dxa"/>
              <w:bottom w:w="60" w:type="dxa"/>
              <w:right w:w="85" w:type="dxa"/>
            </w:tcMar>
          </w:tcPr>
          <w:p w14:paraId="247B813F" w14:textId="77777777" w:rsidR="00F26BD2" w:rsidRPr="004371DB" w:rsidRDefault="00CF7F90" w:rsidP="00706C3C">
            <w:pPr>
              <w:spacing w:after="60"/>
              <w:rPr>
                <w:rFonts w:asciiTheme="minorHAnsi" w:hAnsiTheme="minorHAnsi" w:cstheme="minorHAnsi"/>
              </w:rPr>
            </w:pPr>
            <w:r w:rsidRPr="004371DB">
              <w:rPr>
                <w:rFonts w:asciiTheme="minorHAnsi" w:hAnsiTheme="minorHAnsi" w:cstheme="minorHAnsi"/>
                <w:color w:val="27292D"/>
              </w:rPr>
              <w:lastRenderedPageBreak/>
              <w:t xml:space="preserve">Opportunities for candidate </w:t>
            </w:r>
          </w:p>
          <w:p w14:paraId="311A0350" w14:textId="77777777" w:rsidR="00F26BD2" w:rsidRPr="004371DB" w:rsidRDefault="00F26BD2" w:rsidP="00706C3C">
            <w:pPr>
              <w:spacing w:after="60"/>
              <w:rPr>
                <w:rFonts w:asciiTheme="minorHAnsi" w:hAnsiTheme="minorHAnsi" w:cstheme="minorHAnsi"/>
                <w:i/>
              </w:rPr>
            </w:pPr>
            <w:r w:rsidRPr="004371DB">
              <w:rPr>
                <w:rFonts w:asciiTheme="minorHAnsi" w:hAnsiTheme="minorHAnsi" w:cstheme="minorHAnsi"/>
                <w:i/>
                <w:color w:val="27292D"/>
              </w:rPr>
              <w:t>e.g. attending meetings; data collection; data management; analysis; ethics application; dissemination activities</w:t>
            </w:r>
          </w:p>
          <w:p w14:paraId="4DFDDB18" w14:textId="77777777" w:rsidR="00706C3C" w:rsidRPr="004371DB" w:rsidRDefault="00CF7F90" w:rsidP="00706C3C">
            <w:pPr>
              <w:spacing w:after="60"/>
              <w:rPr>
                <w:rFonts w:asciiTheme="minorHAnsi" w:hAnsiTheme="minorHAnsi" w:cstheme="minorHAnsi"/>
              </w:rPr>
            </w:pPr>
            <w:r w:rsidRPr="004371DB">
              <w:rPr>
                <w:rFonts w:asciiTheme="minorHAnsi" w:hAnsiTheme="minorHAnsi" w:cstheme="minorHAnsi"/>
                <w:color w:val="27292D"/>
              </w:rPr>
              <w:t>(bullet points)</w:t>
            </w:r>
          </w:p>
          <w:p w14:paraId="1ECB090E" w14:textId="77777777" w:rsidR="00CF7F90" w:rsidRPr="00A92C48" w:rsidRDefault="00CF7F90" w:rsidP="00706C3C">
            <w:pPr>
              <w:spacing w:after="60"/>
              <w:rPr>
                <w:b/>
                <w:bCs/>
              </w:rPr>
            </w:pPr>
          </w:p>
          <w:p w14:paraId="6E270FB0" w14:textId="77777777" w:rsidR="00CF7F90" w:rsidRPr="00A92C48" w:rsidRDefault="00CF7F90" w:rsidP="00706C3C">
            <w:pPr>
              <w:spacing w:after="60"/>
              <w:rPr>
                <w:b/>
                <w:bCs/>
              </w:rPr>
            </w:pPr>
          </w:p>
          <w:p w14:paraId="6B91B637" w14:textId="77777777" w:rsidR="00CF7F90" w:rsidRPr="00A92C48" w:rsidRDefault="00CF7F90" w:rsidP="00706C3C">
            <w:pPr>
              <w:spacing w:after="60"/>
              <w:rPr>
                <w:b/>
                <w:bCs/>
              </w:rPr>
            </w:pPr>
          </w:p>
          <w:p w14:paraId="50084FBE" w14:textId="77777777" w:rsidR="00CF7F90" w:rsidRPr="00A92C48" w:rsidRDefault="00CF7F90" w:rsidP="00706C3C">
            <w:pPr>
              <w:spacing w:after="60"/>
              <w:rPr>
                <w:b/>
                <w:bCs/>
              </w:rPr>
            </w:pPr>
          </w:p>
        </w:tc>
        <w:tc>
          <w:tcPr>
            <w:tcW w:w="6581" w:type="dxa"/>
            <w:tcMar>
              <w:top w:w="70" w:type="dxa"/>
              <w:left w:w="85" w:type="dxa"/>
              <w:bottom w:w="60" w:type="dxa"/>
              <w:right w:w="85" w:type="dxa"/>
            </w:tcMar>
          </w:tcPr>
          <w:p w14:paraId="69E81E49" w14:textId="77777777" w:rsidR="007B500A" w:rsidRDefault="007C6344">
            <w:pPr>
              <w:keepLines/>
              <w:spacing w:after="80"/>
              <w:ind w:left="158" w:hanging="158"/>
            </w:pPr>
            <w:r>
              <w:rPr>
                <w:color w:val="27292D"/>
              </w:rPr>
              <w:t>• Frame a question from clinical practice, distinguishing an observed inequality from a causal claim (1 day).</w:t>
            </w:r>
          </w:p>
          <w:p w14:paraId="08DED6CD" w14:textId="77777777" w:rsidR="007B500A" w:rsidRDefault="007C6344">
            <w:pPr>
              <w:keepLines/>
              <w:spacing w:after="80"/>
              <w:ind w:left="158" w:hanging="158"/>
            </w:pPr>
            <w:r>
              <w:rPr>
                <w:color w:val="27292D"/>
              </w:rPr>
              <w:t>• Critically appraise the Scottish and wider evidence, including why planned and emergency caesareans must be considered separately (2 days).</w:t>
            </w:r>
          </w:p>
          <w:p w14:paraId="67E328BF" w14:textId="77777777" w:rsidR="007B500A" w:rsidRDefault="007C6344">
            <w:pPr>
              <w:keepLines/>
              <w:spacing w:after="80"/>
              <w:ind w:left="158" w:hanging="158"/>
            </w:pPr>
            <w:r>
              <w:rPr>
                <w:color w:val="27292D"/>
              </w:rPr>
              <w:t>• Learn causal inference principles through a mentored DAG exercise: identify plausible confounders, mediating pathways, and selection processes; discuss assumptions and target comparisons (2 days).</w:t>
            </w:r>
          </w:p>
          <w:p w14:paraId="109F2306" w14:textId="77777777" w:rsidR="007B500A" w:rsidRDefault="007C6344">
            <w:pPr>
              <w:keepLines/>
              <w:spacing w:after="80"/>
              <w:ind w:left="158" w:hanging="158"/>
            </w:pPr>
            <w:r>
              <w:t>• Assess maternity statistics: outcome definitions, appropriate birth denominators versus proportions restricted to caesareans, SIMD, missing cross-tabulations, and ecological limitations (2 days).</w:t>
            </w:r>
          </w:p>
          <w:p w14:paraId="440F456B" w14:textId="77777777" w:rsidR="007B500A" w:rsidRDefault="007C6344">
            <w:pPr>
              <w:keepLines/>
              <w:spacing w:after="80"/>
              <w:ind w:left="158" w:hanging="158"/>
            </w:pPr>
            <w:r>
              <w:rPr>
                <w:color w:val="27292D"/>
              </w:rPr>
              <w:t>• Produce and interpret a small number of descriptive comparisons, or work through illustrative/synthetic examples where published data are inadequate; explore how stratification can alter apparent associations (2 days).</w:t>
            </w:r>
          </w:p>
          <w:p w14:paraId="18E6E21B" w14:textId="77777777" w:rsidR="007B500A" w:rsidRDefault="007C6344">
            <w:pPr>
              <w:keepLines/>
              <w:spacing w:after="80"/>
              <w:ind w:left="158" w:hanging="158"/>
            </w:pPr>
            <w:r>
              <w:t>• Co-develop a clinically and policy-informed outline protocol specifying the causal question, variables, design, analysis, equity implications, and feasibility of future patient-level research (2 days).</w:t>
            </w:r>
          </w:p>
          <w:p w14:paraId="6C7CDD2E" w14:textId="77777777" w:rsidR="007B500A" w:rsidRDefault="007C6344">
            <w:pPr>
              <w:keepLines/>
              <w:spacing w:after="80"/>
              <w:ind w:left="158" w:hanging="158"/>
            </w:pPr>
            <w:r>
              <w:lastRenderedPageBreak/>
              <w:t>• Co-produce a conference abstract, seek feedback from academic and NHS colleagues, and identify a suitable meeting for submission (1 day).</w:t>
            </w:r>
          </w:p>
        </w:tc>
      </w:tr>
      <w:tr w:rsidR="00CF7F90" w14:paraId="50F54725" w14:textId="77777777" w:rsidTr="003C056C">
        <w:trPr>
          <w:cantSplit/>
        </w:trPr>
        <w:tc>
          <w:tcPr>
            <w:tcW w:w="3053" w:type="dxa"/>
            <w:tcMar>
              <w:top w:w="70" w:type="dxa"/>
              <w:left w:w="85" w:type="dxa"/>
              <w:bottom w:w="60" w:type="dxa"/>
              <w:right w:w="85" w:type="dxa"/>
            </w:tcMar>
          </w:tcPr>
          <w:p w14:paraId="210A8EA8" w14:textId="77777777" w:rsidR="00CF7F90" w:rsidRPr="008726E7" w:rsidRDefault="00F26BD2" w:rsidP="00706C3C">
            <w:pPr>
              <w:spacing w:after="60"/>
              <w:rPr>
                <w:rFonts w:asciiTheme="minorHAnsi" w:hAnsiTheme="minorHAnsi" w:cstheme="minorHAnsi"/>
              </w:rPr>
            </w:pPr>
            <w:r w:rsidRPr="008726E7">
              <w:rPr>
                <w:rFonts w:asciiTheme="minorHAnsi" w:hAnsiTheme="minorHAnsi" w:cstheme="minorHAnsi"/>
                <w:color w:val="27292D"/>
              </w:rPr>
              <w:lastRenderedPageBreak/>
              <w:t xml:space="preserve">Any other considerations </w:t>
            </w:r>
            <w:r w:rsidR="006B669F" w:rsidRPr="008726E7">
              <w:rPr>
                <w:rFonts w:asciiTheme="minorHAnsi" w:hAnsiTheme="minorHAnsi" w:cstheme="minorHAnsi"/>
                <w:color w:val="27292D"/>
              </w:rPr>
              <w:t xml:space="preserve">or information </w:t>
            </w:r>
            <w:r w:rsidRPr="008726E7">
              <w:rPr>
                <w:rFonts w:asciiTheme="minorHAnsi" w:hAnsiTheme="minorHAnsi" w:cstheme="minorHAnsi"/>
                <w:color w:val="27292D"/>
              </w:rPr>
              <w:t xml:space="preserve">for potential candidates? </w:t>
            </w:r>
            <w:r w:rsidR="005C2243" w:rsidRPr="008726E7">
              <w:rPr>
                <w:rFonts w:asciiTheme="minorHAnsi" w:hAnsiTheme="minorHAnsi" w:cstheme="minorHAnsi"/>
                <w:i/>
                <w:iCs/>
                <w:color w:val="27292D"/>
              </w:rPr>
              <w:t>(e.g. potential links to other projects, networking opportunities, specific skills needed)</w:t>
            </w:r>
          </w:p>
          <w:p w14:paraId="2D0F8C50" w14:textId="77777777" w:rsidR="00CF7F90" w:rsidRPr="00A92C48" w:rsidRDefault="00CF7F90" w:rsidP="00706C3C">
            <w:pPr>
              <w:spacing w:after="60"/>
              <w:rPr>
                <w:b/>
                <w:bCs/>
              </w:rPr>
            </w:pPr>
          </w:p>
        </w:tc>
        <w:tc>
          <w:tcPr>
            <w:tcW w:w="6581" w:type="dxa"/>
            <w:tcMar>
              <w:top w:w="70" w:type="dxa"/>
              <w:left w:w="85" w:type="dxa"/>
              <w:bottom w:w="60" w:type="dxa"/>
              <w:right w:w="85" w:type="dxa"/>
            </w:tcMar>
          </w:tcPr>
          <w:p w14:paraId="4886A544" w14:textId="77777777" w:rsidR="007B500A" w:rsidRPr="008726E7" w:rsidRDefault="007C6344">
            <w:pPr>
              <w:keepLines/>
              <w:spacing w:after="100"/>
              <w:rPr>
                <w:bCs/>
              </w:rPr>
            </w:pPr>
            <w:r w:rsidRPr="008726E7">
              <w:rPr>
                <w:bCs/>
                <w:color w:val="27292D"/>
              </w:rPr>
              <w:t>This placement is an opportunity to learn how epidemiologists think</w:t>
            </w:r>
            <w:r w:rsidR="008726E7">
              <w:rPr>
                <w:bCs/>
                <w:color w:val="27292D"/>
              </w:rPr>
              <w:t xml:space="preserve">, </w:t>
            </w:r>
            <w:r w:rsidRPr="008726E7">
              <w:rPr>
                <w:bCs/>
                <w:color w:val="27292D"/>
              </w:rPr>
              <w:t>not a requirement to arrive with statistical expertise. It will suit a midwife, nurse, or other NHS Lothian professional interested in maternity care, inequalities, evidence, or research methods. The candidate will receive guided methodological teaching, critical discussion, and hands-on activities appropriate to their experience.</w:t>
            </w:r>
          </w:p>
          <w:p w14:paraId="707EF120" w14:textId="77777777" w:rsidR="007B500A" w:rsidRDefault="007C6344">
            <w:pPr>
              <w:keepLines/>
              <w:spacing w:after="100"/>
            </w:pPr>
            <w:r>
              <w:t>Expected outputs: an annotated causal diagram, a focused critical appraisal, appropriately qualified figures (where data permit), a co-developed outline protocol, and a co-authored conference abstract. The team will produce the abstract during the placement and submit it to a suitable scientific conference when an appropriate call opens; acceptance cannot be guaranteed. The participant will actively shape the research and consider implications for maternity care and health inequalities.</w:t>
            </w:r>
          </w:p>
        </w:tc>
      </w:tr>
      <w:tr w:rsidR="00CF7F90" w14:paraId="3AEAA4A3" w14:textId="77777777" w:rsidTr="003C056C">
        <w:trPr>
          <w:cantSplit/>
        </w:trPr>
        <w:tc>
          <w:tcPr>
            <w:tcW w:w="3053" w:type="dxa"/>
            <w:tcMar>
              <w:top w:w="70" w:type="dxa"/>
              <w:left w:w="85" w:type="dxa"/>
              <w:bottom w:w="60" w:type="dxa"/>
              <w:right w:w="85" w:type="dxa"/>
            </w:tcMar>
          </w:tcPr>
          <w:p w14:paraId="6CB72D48" w14:textId="77777777" w:rsidR="00CF7F90" w:rsidRPr="00A92C48" w:rsidRDefault="00CF7F90" w:rsidP="00706C3C">
            <w:pPr>
              <w:spacing w:after="60"/>
              <w:rPr>
                <w:b/>
                <w:bCs/>
              </w:rPr>
            </w:pPr>
            <w:r w:rsidRPr="00A92C48">
              <w:rPr>
                <w:b/>
                <w:bCs/>
                <w:color w:val="27292D"/>
              </w:rPr>
              <w:t>Dates available</w:t>
            </w:r>
            <w:r w:rsidR="005C2243" w:rsidRPr="00A92C48">
              <w:rPr>
                <w:b/>
                <w:bCs/>
                <w:color w:val="27292D"/>
              </w:rPr>
              <w:t xml:space="preserve"> (awards likely to be made </w:t>
            </w:r>
            <w:r w:rsidR="00A92C48">
              <w:rPr>
                <w:b/>
                <w:bCs/>
                <w:color w:val="27292D"/>
              </w:rPr>
              <w:t>March</w:t>
            </w:r>
            <w:r w:rsidR="00442875" w:rsidRPr="00A92C48">
              <w:rPr>
                <w:b/>
                <w:bCs/>
                <w:color w:val="27292D"/>
              </w:rPr>
              <w:t xml:space="preserve"> 202</w:t>
            </w:r>
            <w:r w:rsidR="00A92C48">
              <w:rPr>
                <w:b/>
                <w:bCs/>
                <w:color w:val="27292D"/>
              </w:rPr>
              <w:t>7</w:t>
            </w:r>
            <w:r w:rsidR="005909D4" w:rsidRPr="00A92C48">
              <w:rPr>
                <w:b/>
                <w:bCs/>
                <w:color w:val="27292D"/>
              </w:rPr>
              <w:t xml:space="preserve"> for start in </w:t>
            </w:r>
            <w:r w:rsidR="00A50B61" w:rsidRPr="00A92C48">
              <w:rPr>
                <w:b/>
                <w:bCs/>
                <w:color w:val="27292D"/>
              </w:rPr>
              <w:t>April 202</w:t>
            </w:r>
            <w:r w:rsidR="00A92C48">
              <w:rPr>
                <w:b/>
                <w:bCs/>
                <w:color w:val="27292D"/>
              </w:rPr>
              <w:t>7</w:t>
            </w:r>
            <w:r w:rsidR="00A50B61" w:rsidRPr="00A92C48">
              <w:rPr>
                <w:b/>
                <w:bCs/>
                <w:color w:val="27292D"/>
              </w:rPr>
              <w:t xml:space="preserve"> o</w:t>
            </w:r>
            <w:r w:rsidR="00442875" w:rsidRPr="00A92C48">
              <w:rPr>
                <w:b/>
                <w:bCs/>
                <w:color w:val="27292D"/>
              </w:rPr>
              <w:t>nwards</w:t>
            </w:r>
            <w:r w:rsidR="00A50B61" w:rsidRPr="00A92C48">
              <w:rPr>
                <w:b/>
                <w:bCs/>
                <w:color w:val="27292D"/>
              </w:rPr>
              <w:t>)</w:t>
            </w:r>
          </w:p>
          <w:p w14:paraId="4A511100" w14:textId="77777777" w:rsidR="00CF7F90" w:rsidRPr="00A92C48" w:rsidRDefault="00CF7F90" w:rsidP="00706C3C">
            <w:pPr>
              <w:spacing w:after="60"/>
              <w:rPr>
                <w:b/>
                <w:bCs/>
              </w:rPr>
            </w:pPr>
          </w:p>
        </w:tc>
        <w:tc>
          <w:tcPr>
            <w:tcW w:w="6581" w:type="dxa"/>
            <w:tcMar>
              <w:top w:w="70" w:type="dxa"/>
              <w:left w:w="85" w:type="dxa"/>
              <w:bottom w:w="60" w:type="dxa"/>
              <w:right w:w="85" w:type="dxa"/>
            </w:tcMar>
          </w:tcPr>
          <w:p w14:paraId="230611EE" w14:textId="77777777" w:rsidR="007B500A" w:rsidRDefault="007C6344">
            <w:pPr>
              <w:keepLines/>
              <w:spacing w:after="100"/>
            </w:pPr>
            <w:r>
              <w:rPr>
                <w:color w:val="27292D"/>
              </w:rPr>
              <w:t>From April 2027; 12 days across approximately 12 months, flexibly arranged around NHS clinical commitments and mentoring availability.</w:t>
            </w:r>
          </w:p>
        </w:tc>
      </w:tr>
      <w:tr w:rsidR="00CF7F90" w14:paraId="4F36DC33" w14:textId="77777777" w:rsidTr="003C056C">
        <w:trPr>
          <w:cantSplit/>
        </w:trPr>
        <w:tc>
          <w:tcPr>
            <w:tcW w:w="3053" w:type="dxa"/>
            <w:tcMar>
              <w:top w:w="70" w:type="dxa"/>
              <w:left w:w="85" w:type="dxa"/>
              <w:bottom w:w="60" w:type="dxa"/>
              <w:right w:w="85" w:type="dxa"/>
            </w:tcMar>
          </w:tcPr>
          <w:p w14:paraId="56BADE80" w14:textId="77777777" w:rsidR="00CF7F90" w:rsidRPr="00A92C48" w:rsidRDefault="00CF7F90" w:rsidP="00706C3C">
            <w:pPr>
              <w:spacing w:after="60"/>
              <w:rPr>
                <w:b/>
                <w:bCs/>
              </w:rPr>
            </w:pPr>
            <w:r w:rsidRPr="00A92C48">
              <w:rPr>
                <w:b/>
                <w:bCs/>
                <w:color w:val="27292D"/>
              </w:rPr>
              <w:t>Mentor(s)</w:t>
            </w:r>
            <w:r w:rsidR="00A92C48">
              <w:rPr>
                <w:b/>
                <w:bCs/>
                <w:color w:val="27292D"/>
              </w:rPr>
              <w:t xml:space="preserve"> – </w:t>
            </w:r>
            <w:r w:rsidR="00A92C48" w:rsidRPr="00A92C48">
              <w:rPr>
                <w:i/>
                <w:iCs/>
                <w:color w:val="27292D"/>
              </w:rPr>
              <w:t>name, role &amp; email</w:t>
            </w:r>
            <w:r w:rsidR="00A92C48">
              <w:rPr>
                <w:i/>
                <w:iCs/>
                <w:color w:val="27292D"/>
              </w:rPr>
              <w:t xml:space="preserve"> if additional to contact above</w:t>
            </w:r>
          </w:p>
          <w:p w14:paraId="59F6B3CF" w14:textId="77777777" w:rsidR="00CF7F90" w:rsidRPr="00A92C48" w:rsidRDefault="00CF7F90" w:rsidP="00706C3C">
            <w:pPr>
              <w:spacing w:after="60"/>
              <w:rPr>
                <w:b/>
                <w:bCs/>
              </w:rPr>
            </w:pPr>
          </w:p>
        </w:tc>
        <w:tc>
          <w:tcPr>
            <w:tcW w:w="6581" w:type="dxa"/>
            <w:tcMar>
              <w:top w:w="70" w:type="dxa"/>
              <w:left w:w="85" w:type="dxa"/>
              <w:bottom w:w="60" w:type="dxa"/>
              <w:right w:w="85" w:type="dxa"/>
            </w:tcMar>
          </w:tcPr>
          <w:p w14:paraId="685CE7D6" w14:textId="77777777" w:rsidR="007B500A" w:rsidRDefault="007C6344">
            <w:pPr>
              <w:keepLines/>
              <w:spacing w:after="100"/>
            </w:pPr>
            <w:r>
              <w:rPr>
                <w:color w:val="27292D"/>
              </w:rPr>
              <w:t>Martin Sharp (academic mentor; contact above). No additional clinical co-mentor confirmed at nomination stage.</w:t>
            </w:r>
          </w:p>
        </w:tc>
      </w:tr>
    </w:tbl>
    <w:p w14:paraId="06AA7A1B" w14:textId="77777777" w:rsidR="00992BB9" w:rsidRDefault="00992BB9"/>
    <w:sectPr w:rsidR="00992BB9" w:rsidSect="00706C3C">
      <w:pgSz w:w="11906" w:h="16838"/>
      <w:pgMar w:top="691" w:right="1123" w:bottom="720" w:left="112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22245"/>
    <w:multiLevelType w:val="hybridMultilevel"/>
    <w:tmpl w:val="AFA60EEC"/>
    <w:lvl w:ilvl="0" w:tplc="E396A8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8897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C3C"/>
    <w:rsid w:val="003A6B5F"/>
    <w:rsid w:val="003C056C"/>
    <w:rsid w:val="00433D25"/>
    <w:rsid w:val="004371DB"/>
    <w:rsid w:val="00442875"/>
    <w:rsid w:val="0046031B"/>
    <w:rsid w:val="00476056"/>
    <w:rsid w:val="004C621D"/>
    <w:rsid w:val="005909D4"/>
    <w:rsid w:val="005B75A8"/>
    <w:rsid w:val="005C2243"/>
    <w:rsid w:val="00637822"/>
    <w:rsid w:val="00681D46"/>
    <w:rsid w:val="00682A2E"/>
    <w:rsid w:val="006B669F"/>
    <w:rsid w:val="006C3D1E"/>
    <w:rsid w:val="00706C3C"/>
    <w:rsid w:val="0074153A"/>
    <w:rsid w:val="007816A3"/>
    <w:rsid w:val="007B500A"/>
    <w:rsid w:val="008366CB"/>
    <w:rsid w:val="008726E7"/>
    <w:rsid w:val="008D2B6D"/>
    <w:rsid w:val="008E38DC"/>
    <w:rsid w:val="0091462F"/>
    <w:rsid w:val="009556F0"/>
    <w:rsid w:val="00992BB9"/>
    <w:rsid w:val="00A50B61"/>
    <w:rsid w:val="00A92C48"/>
    <w:rsid w:val="00B56A8B"/>
    <w:rsid w:val="00B627B2"/>
    <w:rsid w:val="00CB3EB8"/>
    <w:rsid w:val="00CD236A"/>
    <w:rsid w:val="00CD44D5"/>
    <w:rsid w:val="00CF7F90"/>
    <w:rsid w:val="00D61EA5"/>
    <w:rsid w:val="00E675CC"/>
    <w:rsid w:val="00F2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F28AE"/>
  <w15:docId w15:val="{1E6F1D71-8647-4DCD-88D0-DC9EEE51E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D25"/>
    <w:pPr>
      <w:spacing w:after="40" w:line="264" w:lineRule="auto"/>
    </w:pPr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6C3C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color w:val="002060"/>
      <w:sz w:val="4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6C3C"/>
    <w:rPr>
      <w:rFonts w:asciiTheme="majorHAnsi" w:eastAsiaTheme="majorEastAsia" w:hAnsiTheme="majorHAnsi" w:cstheme="majorBidi"/>
      <w:b/>
      <w:color w:val="002060"/>
      <w:sz w:val="44"/>
      <w:szCs w:val="32"/>
    </w:rPr>
  </w:style>
  <w:style w:type="table" w:styleId="TableGrid">
    <w:name w:val="Table Grid"/>
    <w:basedOn w:val="TableNormal"/>
    <w:uiPriority w:val="39"/>
    <w:rsid w:val="00706C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056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7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75A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A6B5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A6B5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ervices.nhslothian.scot/hcprofessionsresearch/lothian-clinical-academic-research-gateway-awards-award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rvices.nhslothian.scot/hcprofessionsresearch/lothian-clinical-academic-research-gateway-awards-awards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First Steps into Research Opportunities 2027 – Caesarean epidemiological reasoning</vt:lpstr>
    </vt:vector>
  </TitlesOfParts>
  <Company>NHS Lothian</Company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Steps into Research Opportunities 2027 – Caesarean epidemiological reasoning</dc:title>
  <dc:subject>NHS Lothian placement nomination – draft for review</dc:subject>
  <dc:creator>MacArthur, Juliet</dc:creator>
  <cp:lastModifiedBy>MacArthur, Juliet</cp:lastModifiedBy>
  <cp:revision>2</cp:revision>
  <dcterms:created xsi:type="dcterms:W3CDTF">2026-10-21T09:58:00Z</dcterms:created>
  <dcterms:modified xsi:type="dcterms:W3CDTF">2026-10-21T09:58:00Z</dcterms:modified>
</cp:coreProperties>
</file>