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795F" w14:textId="77777777" w:rsidR="00706C3C" w:rsidRPr="00922FF2" w:rsidRDefault="005B75A8" w:rsidP="00706C3C">
      <w:pPr>
        <w:pStyle w:val="Heading1"/>
        <w:jc w:val="center"/>
        <w:rPr>
          <w:rFonts w:asciiTheme="minorHAnsi" w:hAnsiTheme="minorHAnsi" w:cstheme="minorHAnsi"/>
          <w:b w:val="0"/>
          <w:sz w:val="28"/>
          <w:szCs w:val="22"/>
          <w:shd w:val="clear" w:color="auto" w:fill="FFFFFF"/>
        </w:rPr>
      </w:pPr>
      <w:r w:rsidRPr="005B75A8">
        <w:rPr>
          <w:rFonts w:asciiTheme="minorHAnsi" w:hAnsiTheme="minorHAnsi" w:cstheme="minorHAnsi"/>
          <w:noProof/>
          <w:sz w:val="28"/>
          <w:szCs w:val="22"/>
          <w:shd w:val="clear" w:color="auto" w:fill="FFFFFF"/>
          <w:lang w:eastAsia="en-GB"/>
        </w:rPr>
        <w:drawing>
          <wp:inline distT="0" distB="0" distL="0" distR="0" wp14:anchorId="51A962BD" wp14:editId="6A3DCED1">
            <wp:extent cx="5731510" cy="723174"/>
            <wp:effectExtent l="19050" t="0" r="254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/>
                    <pic:cNvPicPr/>
                  </pic:nvPicPr>
                  <pic:blipFill rotWithShape="1">
                    <a:blip r:embed="rId5" cstate="print"/>
                    <a:srcRect l="5912" t="37022" r="56220" b="44860"/>
                    <a:stretch/>
                  </pic:blipFill>
                  <pic:spPr bwMode="auto">
                    <a:xfrm>
                      <a:off x="0" y="0"/>
                      <a:ext cx="5731510" cy="7231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06C3C" w:rsidRPr="00922FF2">
        <w:rPr>
          <w:rFonts w:asciiTheme="minorHAnsi" w:hAnsiTheme="minorHAnsi" w:cstheme="minorHAnsi"/>
          <w:sz w:val="28"/>
          <w:szCs w:val="22"/>
          <w:shd w:val="clear" w:color="auto" w:fill="FFFFFF"/>
        </w:rPr>
        <w:t>Lothian Clinical Academic Pathways Partnership</w:t>
      </w:r>
    </w:p>
    <w:p w14:paraId="6AED2307" w14:textId="77777777" w:rsidR="00706C3C" w:rsidRDefault="00706C3C" w:rsidP="00706C3C">
      <w:pPr>
        <w:pStyle w:val="Heading1"/>
        <w:jc w:val="center"/>
        <w:rPr>
          <w:rFonts w:asciiTheme="minorHAnsi" w:hAnsiTheme="minorHAnsi" w:cstheme="minorHAnsi"/>
          <w:sz w:val="28"/>
          <w:szCs w:val="22"/>
          <w:shd w:val="clear" w:color="auto" w:fill="FFFFFF"/>
        </w:rPr>
      </w:pPr>
      <w:r w:rsidRPr="00922FF2">
        <w:rPr>
          <w:rFonts w:asciiTheme="minorHAnsi" w:hAnsiTheme="minorHAnsi" w:cstheme="minorHAnsi"/>
          <w:sz w:val="28"/>
          <w:szCs w:val="22"/>
          <w:shd w:val="clear" w:color="auto" w:fill="FFFFFF"/>
        </w:rPr>
        <w:t>Clinical Academic Research Gateway Funding</w:t>
      </w:r>
    </w:p>
    <w:p w14:paraId="2665A494" w14:textId="38F2ACA7" w:rsidR="00706C3C" w:rsidRPr="00CF7F90" w:rsidRDefault="00706C3C" w:rsidP="00706C3C">
      <w:pPr>
        <w:pStyle w:val="Heading1"/>
        <w:jc w:val="center"/>
        <w:rPr>
          <w:rFonts w:asciiTheme="minorHAnsi" w:hAnsiTheme="minorHAnsi" w:cstheme="minorHAnsi"/>
          <w:sz w:val="28"/>
        </w:rPr>
      </w:pPr>
      <w:r w:rsidRPr="00CF7F90">
        <w:rPr>
          <w:rFonts w:asciiTheme="minorHAnsi" w:hAnsiTheme="minorHAnsi" w:cstheme="minorHAnsi"/>
          <w:sz w:val="28"/>
        </w:rPr>
        <w:t>First Steps into Research Opportunities</w:t>
      </w:r>
      <w:r w:rsidR="00CF7F90">
        <w:rPr>
          <w:rFonts w:asciiTheme="minorHAnsi" w:hAnsiTheme="minorHAnsi" w:cstheme="minorHAnsi"/>
          <w:sz w:val="28"/>
        </w:rPr>
        <w:t xml:space="preserve"> 202</w:t>
      </w:r>
      <w:r w:rsidR="00380C0F">
        <w:rPr>
          <w:rFonts w:asciiTheme="minorHAnsi" w:hAnsiTheme="minorHAnsi" w:cstheme="minorHAnsi"/>
          <w:sz w:val="28"/>
        </w:rPr>
        <w:t>6</w:t>
      </w:r>
    </w:p>
    <w:p w14:paraId="24677DEF" w14:textId="77777777" w:rsidR="00706C3C" w:rsidRDefault="00706C3C" w:rsidP="00706C3C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505"/>
        <w:gridCol w:w="5988"/>
      </w:tblGrid>
      <w:tr w:rsidR="00706C3C" w14:paraId="5FCCED37" w14:textId="77777777" w:rsidTr="003C056C">
        <w:tc>
          <w:tcPr>
            <w:tcW w:w="3505" w:type="dxa"/>
          </w:tcPr>
          <w:p w14:paraId="31570E32" w14:textId="77777777" w:rsidR="00706C3C" w:rsidRDefault="00706C3C" w:rsidP="00706C3C">
            <w:r>
              <w:t>Institution &amp; Department</w:t>
            </w:r>
          </w:p>
          <w:p w14:paraId="73C85BDE" w14:textId="77777777" w:rsidR="006B669F" w:rsidRDefault="006B669F" w:rsidP="00706C3C"/>
          <w:p w14:paraId="10988F1F" w14:textId="77777777" w:rsidR="00CF7F90" w:rsidRDefault="00CF7F90" w:rsidP="00380C0F"/>
        </w:tc>
        <w:tc>
          <w:tcPr>
            <w:tcW w:w="5988" w:type="dxa"/>
          </w:tcPr>
          <w:p w14:paraId="47B7588D" w14:textId="77777777" w:rsidR="00706C3C" w:rsidRDefault="005D4A5E" w:rsidP="00706C3C">
            <w:r>
              <w:t>NHS Lothian, Emergency Medicine Research Group of Edinburgh (EMERGE)</w:t>
            </w:r>
          </w:p>
        </w:tc>
      </w:tr>
      <w:tr w:rsidR="00706C3C" w14:paraId="6FDE0C8A" w14:textId="77777777" w:rsidTr="003C056C">
        <w:tc>
          <w:tcPr>
            <w:tcW w:w="3505" w:type="dxa"/>
          </w:tcPr>
          <w:p w14:paraId="53B54892" w14:textId="77777777" w:rsidR="00706C3C" w:rsidRDefault="00CF7F90" w:rsidP="00706C3C">
            <w:r>
              <w:t>Contact – name, role &amp; email</w:t>
            </w:r>
          </w:p>
          <w:p w14:paraId="6CADF0F6" w14:textId="77777777" w:rsidR="00CF7F90" w:rsidRDefault="00CF7F90" w:rsidP="00706C3C"/>
        </w:tc>
        <w:tc>
          <w:tcPr>
            <w:tcW w:w="5988" w:type="dxa"/>
          </w:tcPr>
          <w:p w14:paraId="68020B18" w14:textId="77777777" w:rsidR="00706C3C" w:rsidRDefault="005D4A5E" w:rsidP="00706C3C">
            <w:r>
              <w:t>Rachel O’Brien</w:t>
            </w:r>
          </w:p>
          <w:p w14:paraId="31709021" w14:textId="77777777" w:rsidR="005D4A5E" w:rsidRDefault="005D4A5E" w:rsidP="00706C3C">
            <w:r>
              <w:t>Research Nurse Manager</w:t>
            </w:r>
          </w:p>
          <w:p w14:paraId="465617DB" w14:textId="77777777" w:rsidR="005D4A5E" w:rsidRDefault="005D4A5E" w:rsidP="00706C3C">
            <w:proofErr w:type="spellStart"/>
            <w:r>
              <w:t>Rachel.o’brien@nhs.scot</w:t>
            </w:r>
            <w:proofErr w:type="spellEnd"/>
          </w:p>
        </w:tc>
      </w:tr>
      <w:tr w:rsidR="005C2243" w14:paraId="6AB037C3" w14:textId="77777777" w:rsidTr="003C056C">
        <w:tc>
          <w:tcPr>
            <w:tcW w:w="3505" w:type="dxa"/>
          </w:tcPr>
          <w:p w14:paraId="3493FE1F" w14:textId="77777777" w:rsidR="005C2243" w:rsidRDefault="005C2243" w:rsidP="00706C3C">
            <w:r>
              <w:t>Research Project/Programme Title</w:t>
            </w:r>
          </w:p>
          <w:p w14:paraId="2C88CBFF" w14:textId="77777777" w:rsidR="005C2243" w:rsidRDefault="005C2243" w:rsidP="00706C3C"/>
        </w:tc>
        <w:tc>
          <w:tcPr>
            <w:tcW w:w="5988" w:type="dxa"/>
          </w:tcPr>
          <w:p w14:paraId="1706BC39" w14:textId="77777777" w:rsidR="005D4A5E" w:rsidRDefault="005D4A5E" w:rsidP="00706C3C">
            <w:r>
              <w:t>POC DILI</w:t>
            </w:r>
          </w:p>
          <w:p w14:paraId="786F8E3A" w14:textId="77777777" w:rsidR="005C2243" w:rsidRDefault="005D4A5E" w:rsidP="00706C3C">
            <w:r>
              <w:t>Point-of-care assessment of drug-induced liver injury</w:t>
            </w:r>
          </w:p>
        </w:tc>
      </w:tr>
      <w:tr w:rsidR="00706C3C" w14:paraId="777055F4" w14:textId="77777777" w:rsidTr="003C056C">
        <w:tc>
          <w:tcPr>
            <w:tcW w:w="3505" w:type="dxa"/>
          </w:tcPr>
          <w:p w14:paraId="055814E0" w14:textId="77777777" w:rsidR="00706C3C" w:rsidRDefault="005C2243" w:rsidP="00706C3C">
            <w:r>
              <w:t>Details of</w:t>
            </w:r>
            <w:r w:rsidR="00CF7F90">
              <w:t xml:space="preserve"> Research Project </w:t>
            </w:r>
            <w:r>
              <w:t>/ Programme</w:t>
            </w:r>
            <w:r w:rsidR="003C056C">
              <w:t xml:space="preserve"> – </w:t>
            </w:r>
            <w:r w:rsidR="003C056C" w:rsidRPr="00F26BD2">
              <w:rPr>
                <w:i/>
              </w:rPr>
              <w:t xml:space="preserve">including </w:t>
            </w:r>
            <w:r>
              <w:rPr>
                <w:i/>
              </w:rPr>
              <w:t xml:space="preserve">funder, team members, </w:t>
            </w:r>
            <w:r w:rsidR="003C056C" w:rsidRPr="00F26BD2">
              <w:rPr>
                <w:i/>
              </w:rPr>
              <w:t>methodology</w:t>
            </w:r>
            <w:r w:rsidR="00F26BD2" w:rsidRPr="00F26BD2">
              <w:rPr>
                <w:i/>
              </w:rPr>
              <w:t>, stage of implementation</w:t>
            </w:r>
          </w:p>
          <w:p w14:paraId="1F259178" w14:textId="77777777" w:rsidR="00CF7F90" w:rsidRDefault="00CF7F90" w:rsidP="00706C3C"/>
        </w:tc>
        <w:tc>
          <w:tcPr>
            <w:tcW w:w="5988" w:type="dxa"/>
          </w:tcPr>
          <w:p w14:paraId="7F4A75FE" w14:textId="77777777" w:rsidR="00C96714" w:rsidRDefault="00C96714" w:rsidP="005D4A5E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The POC-DILI study, funded by the Medical Research Council, is a multicentre diagnostic accuracy trial due to start in October 2024 and recruiting 620 participants who have attended the Emergency Department after taking an overdose of paracetamol. </w:t>
            </w:r>
          </w:p>
          <w:p w14:paraId="669D8376" w14:textId="77777777" w:rsidR="00C96714" w:rsidRDefault="00C96714" w:rsidP="005D4A5E">
            <w:pPr>
              <w:contextualSpacing/>
              <w:rPr>
                <w:rFonts w:cstheme="minorHAnsi"/>
              </w:rPr>
            </w:pPr>
          </w:p>
          <w:p w14:paraId="43C93F2D" w14:textId="77777777" w:rsidR="005D4A5E" w:rsidRPr="006769E5" w:rsidRDefault="005D4A5E" w:rsidP="005D4A5E">
            <w:pPr>
              <w:contextualSpacing/>
              <w:rPr>
                <w:rFonts w:cstheme="minorHAnsi"/>
              </w:rPr>
            </w:pPr>
            <w:r w:rsidRPr="006769E5">
              <w:rPr>
                <w:rFonts w:cstheme="minorHAnsi"/>
              </w:rPr>
              <w:t xml:space="preserve">Paracetamol overdose (POD) is common (UK/year: ~100,000 cases, ~50,000 treated, ~5,000 develop liver injury). The sooner treatment with acetylcysteine (NAC) is started post-POD the greater the likelihood that liver injury will be prevented. </w:t>
            </w:r>
          </w:p>
          <w:p w14:paraId="1A897E1D" w14:textId="77777777" w:rsidR="005D4A5E" w:rsidRPr="006769E5" w:rsidRDefault="005D4A5E" w:rsidP="005D4A5E">
            <w:pPr>
              <w:contextualSpacing/>
              <w:rPr>
                <w:rFonts w:cstheme="minorHAnsi"/>
              </w:rPr>
            </w:pPr>
          </w:p>
          <w:p w14:paraId="27B7CD11" w14:textId="77777777" w:rsidR="005D4A5E" w:rsidRPr="006769E5" w:rsidRDefault="005D4A5E" w:rsidP="005D4A5E">
            <w:pPr>
              <w:contextualSpacing/>
              <w:rPr>
                <w:rFonts w:cstheme="minorHAnsi"/>
              </w:rPr>
            </w:pPr>
            <w:r w:rsidRPr="006769E5">
              <w:rPr>
                <w:rFonts w:cstheme="minorHAnsi"/>
              </w:rPr>
              <w:t>ALT is the current sta</w:t>
            </w:r>
            <w:r>
              <w:rPr>
                <w:rFonts w:cstheme="minorHAnsi"/>
              </w:rPr>
              <w:t>ndard-of-care biomarker for drug-induced liver injury</w:t>
            </w:r>
            <w:r w:rsidRPr="006769E5">
              <w:rPr>
                <w:rFonts w:cstheme="minorHAnsi"/>
              </w:rPr>
              <w:t>, and it is a reliable clinical reference standard for established liver injury. However, ALT increases too slowly post-POD for the diagnosis of liver injury within the therapeutic time window of maximal NAC efficacy. There is a need for an assay capable of risk stratifying patients by their probability of developing liver injury post-POD to improve time-critical clinical decision making.</w:t>
            </w:r>
          </w:p>
          <w:p w14:paraId="5142D74C" w14:textId="77777777" w:rsidR="005D4A5E" w:rsidRPr="006769E5" w:rsidRDefault="005D4A5E" w:rsidP="005D4A5E">
            <w:pPr>
              <w:contextualSpacing/>
              <w:rPr>
                <w:rFonts w:cstheme="minorHAnsi"/>
              </w:rPr>
            </w:pPr>
          </w:p>
          <w:p w14:paraId="0C4A5B73" w14:textId="77777777" w:rsidR="005D4A5E" w:rsidRPr="006769E5" w:rsidRDefault="005D4A5E" w:rsidP="005D4A5E">
            <w:pPr>
              <w:contextualSpacing/>
              <w:rPr>
                <w:rFonts w:cstheme="minorHAnsi"/>
              </w:rPr>
            </w:pPr>
            <w:r w:rsidRPr="006769E5">
              <w:rPr>
                <w:rFonts w:cstheme="minorHAnsi"/>
              </w:rPr>
              <w:t xml:space="preserve">K18 is a diagnostically sensitive circulating protein-based biomarker for the early identification of liver injury. </w:t>
            </w:r>
          </w:p>
          <w:p w14:paraId="1BA30047" w14:textId="77777777" w:rsidR="005D4A5E" w:rsidRPr="006769E5" w:rsidRDefault="005D4A5E" w:rsidP="005D4A5E">
            <w:pPr>
              <w:contextualSpacing/>
              <w:rPr>
                <w:rFonts w:cstheme="minorHAnsi"/>
              </w:rPr>
            </w:pPr>
          </w:p>
          <w:p w14:paraId="574E71CB" w14:textId="77777777" w:rsidR="00706C3C" w:rsidRPr="00E45999" w:rsidRDefault="005D4A5E" w:rsidP="00706C3C">
            <w:pPr>
              <w:contextualSpacing/>
              <w:rPr>
                <w:rFonts w:cstheme="minorHAnsi"/>
              </w:rPr>
            </w:pPr>
            <w:r w:rsidRPr="005D4A5E">
              <w:rPr>
                <w:rFonts w:cstheme="minorHAnsi"/>
              </w:rPr>
              <w:t xml:space="preserve">To improve patient care we have created a </w:t>
            </w:r>
            <w:r w:rsidRPr="005D4A5E">
              <w:rPr>
                <w:rFonts w:cstheme="minorHAnsi"/>
                <w:bCs/>
              </w:rPr>
              <w:t>Point of Care DILI Diagnostic</w:t>
            </w:r>
            <w:r w:rsidRPr="005D4A5E">
              <w:rPr>
                <w:rFonts w:cstheme="minorHAnsi"/>
              </w:rPr>
              <w:t xml:space="preserve"> capable of rapidly and reliably quantifying K18 levels in small amounts of capillary blood. The diagnostic consists of a </w:t>
            </w:r>
            <w:r w:rsidRPr="005D4A5E">
              <w:rPr>
                <w:rFonts w:cstheme="minorHAnsi"/>
                <w:bCs/>
              </w:rPr>
              <w:t>K18 Lateral Flow Assay</w:t>
            </w:r>
            <w:r w:rsidRPr="005D4A5E">
              <w:rPr>
                <w:rFonts w:cstheme="minorHAnsi"/>
              </w:rPr>
              <w:t xml:space="preserve"> operating in tandem with a </w:t>
            </w:r>
            <w:r w:rsidRPr="005D4A5E">
              <w:rPr>
                <w:rFonts w:cstheme="minorHAnsi"/>
                <w:bCs/>
              </w:rPr>
              <w:t>Handheld Reader.</w:t>
            </w:r>
            <w:r w:rsidRPr="005D4A5E">
              <w:rPr>
                <w:rFonts w:cstheme="minorHAnsi"/>
              </w:rPr>
              <w:t xml:space="preserve">  </w:t>
            </w:r>
          </w:p>
        </w:tc>
      </w:tr>
      <w:tr w:rsidR="00706C3C" w14:paraId="40CFFC44" w14:textId="77777777" w:rsidTr="003C056C">
        <w:tc>
          <w:tcPr>
            <w:tcW w:w="3505" w:type="dxa"/>
          </w:tcPr>
          <w:p w14:paraId="2B9E7059" w14:textId="77777777" w:rsidR="00F26BD2" w:rsidRDefault="00CF7F90" w:rsidP="00706C3C">
            <w:r>
              <w:t xml:space="preserve">Opportunities for candidate </w:t>
            </w:r>
          </w:p>
          <w:p w14:paraId="7848BFCD" w14:textId="77777777" w:rsidR="00F26BD2" w:rsidRPr="00F26BD2" w:rsidRDefault="00F26BD2" w:rsidP="00706C3C">
            <w:pPr>
              <w:rPr>
                <w:i/>
              </w:rPr>
            </w:pPr>
            <w:r>
              <w:rPr>
                <w:i/>
              </w:rPr>
              <w:t>e.g. attending meetings; data collection; data management; analysis; ethics application; dissemination activities</w:t>
            </w:r>
          </w:p>
          <w:p w14:paraId="19F30187" w14:textId="77777777" w:rsidR="00706C3C" w:rsidRDefault="00CF7F90" w:rsidP="00706C3C">
            <w:r>
              <w:lastRenderedPageBreak/>
              <w:t>(bullet points)</w:t>
            </w:r>
          </w:p>
          <w:p w14:paraId="1A8E5ACF" w14:textId="77777777" w:rsidR="00CF7F90" w:rsidRDefault="00CF7F90" w:rsidP="00706C3C"/>
          <w:p w14:paraId="623E649B" w14:textId="77777777" w:rsidR="00CF7F90" w:rsidRDefault="00CF7F90" w:rsidP="00706C3C"/>
          <w:p w14:paraId="0EA66B00" w14:textId="77777777" w:rsidR="00CF7F90" w:rsidRDefault="00CF7F90" w:rsidP="00706C3C"/>
          <w:p w14:paraId="21638690" w14:textId="77777777" w:rsidR="00CF7F90" w:rsidRDefault="00CF7F90" w:rsidP="00706C3C"/>
        </w:tc>
        <w:tc>
          <w:tcPr>
            <w:tcW w:w="5988" w:type="dxa"/>
          </w:tcPr>
          <w:p w14:paraId="022E188F" w14:textId="77777777" w:rsidR="00E45999" w:rsidRDefault="005D4A5E" w:rsidP="00706C3C">
            <w:r>
              <w:lastRenderedPageBreak/>
              <w:t>The candidate will be able to get involved</w:t>
            </w:r>
            <w:r w:rsidR="00E45999">
              <w:t xml:space="preserve"> with the following:</w:t>
            </w:r>
          </w:p>
          <w:p w14:paraId="3D70DC0C" w14:textId="77777777" w:rsidR="00E45999" w:rsidRDefault="005D4A5E" w:rsidP="00E45999">
            <w:pPr>
              <w:pStyle w:val="ListParagraph"/>
              <w:numPr>
                <w:ilvl w:val="0"/>
                <w:numId w:val="1"/>
              </w:numPr>
            </w:pPr>
            <w:r>
              <w:t>recruit</w:t>
            </w:r>
            <w:r w:rsidR="00E45999">
              <w:t>ment of participants</w:t>
            </w:r>
          </w:p>
          <w:p w14:paraId="2DB697BF" w14:textId="77777777" w:rsidR="00E45999" w:rsidRDefault="00E45999" w:rsidP="00E45999">
            <w:pPr>
              <w:pStyle w:val="ListParagraph"/>
              <w:numPr>
                <w:ilvl w:val="0"/>
                <w:numId w:val="1"/>
              </w:numPr>
            </w:pPr>
            <w:r>
              <w:t>data collection</w:t>
            </w:r>
          </w:p>
          <w:p w14:paraId="50E84DA2" w14:textId="77777777" w:rsidR="00706C3C" w:rsidRDefault="00E45999" w:rsidP="00E45999">
            <w:pPr>
              <w:pStyle w:val="ListParagraph"/>
              <w:numPr>
                <w:ilvl w:val="0"/>
                <w:numId w:val="1"/>
              </w:numPr>
            </w:pPr>
            <w:r>
              <w:t>data management</w:t>
            </w:r>
          </w:p>
          <w:p w14:paraId="7AF7121F" w14:textId="77777777" w:rsidR="00C96714" w:rsidRDefault="00C96714" w:rsidP="00E45999">
            <w:pPr>
              <w:pStyle w:val="ListParagraph"/>
              <w:numPr>
                <w:ilvl w:val="0"/>
                <w:numId w:val="1"/>
              </w:numPr>
            </w:pPr>
            <w:r>
              <w:t xml:space="preserve">Trial team meetings </w:t>
            </w:r>
          </w:p>
          <w:p w14:paraId="737F1A08" w14:textId="77777777" w:rsidR="00C96714" w:rsidRDefault="00C96714" w:rsidP="00E45999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 xml:space="preserve">Interacting with other UK emergency medicine research groups. </w:t>
            </w:r>
          </w:p>
          <w:p w14:paraId="6E169EF6" w14:textId="77777777" w:rsidR="005D4A5E" w:rsidRDefault="005D4A5E" w:rsidP="00706C3C"/>
          <w:p w14:paraId="74DD3F85" w14:textId="77777777" w:rsidR="00C96714" w:rsidRDefault="00C96714" w:rsidP="00706C3C">
            <w:r>
              <w:t xml:space="preserve">There is also the opportunity to be involved in the early </w:t>
            </w:r>
            <w:r w:rsidR="00190CBB">
              <w:t xml:space="preserve">set-up and </w:t>
            </w:r>
            <w:r>
              <w:t xml:space="preserve">design stages of a follow-up multicentre trial (POC-DILI 2) which already has funding secured. </w:t>
            </w:r>
          </w:p>
          <w:p w14:paraId="7387EE5B" w14:textId="77777777" w:rsidR="005D4A5E" w:rsidRDefault="005D4A5E" w:rsidP="00C96714"/>
        </w:tc>
      </w:tr>
      <w:tr w:rsidR="00CF7F90" w14:paraId="22B95359" w14:textId="77777777" w:rsidTr="003C056C">
        <w:tc>
          <w:tcPr>
            <w:tcW w:w="3505" w:type="dxa"/>
          </w:tcPr>
          <w:p w14:paraId="060D8311" w14:textId="77777777" w:rsidR="00CF7F90" w:rsidRDefault="00F26BD2" w:rsidP="00706C3C">
            <w:r>
              <w:lastRenderedPageBreak/>
              <w:t xml:space="preserve">Any other considerations </w:t>
            </w:r>
            <w:r w:rsidR="006B669F">
              <w:t xml:space="preserve">or information </w:t>
            </w:r>
            <w:r>
              <w:t xml:space="preserve">for potential candidates? </w:t>
            </w:r>
            <w:r w:rsidR="005C2243">
              <w:t>(e.g. potential links to other projects, networking opportunities, specific skills needed)</w:t>
            </w:r>
          </w:p>
          <w:p w14:paraId="4F69C5CB" w14:textId="77777777" w:rsidR="00CF7F90" w:rsidRDefault="00CF7F90" w:rsidP="00706C3C"/>
        </w:tc>
        <w:tc>
          <w:tcPr>
            <w:tcW w:w="5988" w:type="dxa"/>
          </w:tcPr>
          <w:p w14:paraId="27D5D371" w14:textId="77777777" w:rsidR="00CF7F90" w:rsidRDefault="005D4A5E" w:rsidP="00706C3C">
            <w:r>
              <w:t>There will be the opportunity to network with colleagues in the University of Edinburgh as well as NHS colleagues working in emergency medicine research.</w:t>
            </w:r>
          </w:p>
          <w:p w14:paraId="511D4F98" w14:textId="77777777" w:rsidR="005D4A5E" w:rsidRDefault="005D4A5E" w:rsidP="00706C3C"/>
          <w:p w14:paraId="6C83673D" w14:textId="77777777" w:rsidR="005D4A5E" w:rsidRDefault="005D4A5E" w:rsidP="00706C3C">
            <w:r>
              <w:t>Having completed the National Institute of Health Research Good clinical Practice course before starting would be advantageous  (</w:t>
            </w:r>
            <w:hyperlink r:id="rId6" w:history="1">
              <w:r>
                <w:rPr>
                  <w:rStyle w:val="Hyperlink"/>
                </w:rPr>
                <w:t>Good Clinical Practice | NIHR</w:t>
              </w:r>
            </w:hyperlink>
            <w:r>
              <w:t>) or attend an in person course at the Wellcome Trust Clinical Research Facility which is free of cost (</w:t>
            </w:r>
            <w:hyperlink r:id="rId7" w:history="1">
              <w:r>
                <w:rPr>
                  <w:rStyle w:val="Hyperlink"/>
                </w:rPr>
                <w:t>Courses and events | Edinburgh Clinical Research Facility</w:t>
              </w:r>
            </w:hyperlink>
            <w:r>
              <w:t>)</w:t>
            </w:r>
          </w:p>
          <w:p w14:paraId="081C7404" w14:textId="77777777" w:rsidR="00397273" w:rsidRDefault="00397273" w:rsidP="00706C3C"/>
          <w:p w14:paraId="469B83D0" w14:textId="77777777" w:rsidR="00397273" w:rsidRDefault="00397273" w:rsidP="00706C3C">
            <w:r>
              <w:t xml:space="preserve">The team also have several toxicology projects ongoing that the candidate could get involved with. More information can be found here </w:t>
            </w:r>
            <w:hyperlink r:id="rId8" w:history="1">
              <w:r>
                <w:rPr>
                  <w:rStyle w:val="Hyperlink"/>
                </w:rPr>
                <w:t>Current Research – Emerge Research</w:t>
              </w:r>
            </w:hyperlink>
          </w:p>
          <w:p w14:paraId="571C8B8B" w14:textId="77777777" w:rsidR="00E45999" w:rsidRDefault="00E45999" w:rsidP="00706C3C"/>
          <w:p w14:paraId="7D222A2F" w14:textId="77777777" w:rsidR="00E45999" w:rsidRDefault="00E45999" w:rsidP="00706C3C">
            <w:r>
              <w:t>There may also be conferences that the candidate would be able to attend relevant to toxicology</w:t>
            </w:r>
            <w:r w:rsidR="00C96714">
              <w:t>/emergency medicine.</w:t>
            </w:r>
          </w:p>
        </w:tc>
      </w:tr>
      <w:tr w:rsidR="00CF7F90" w14:paraId="14F81B8E" w14:textId="77777777" w:rsidTr="003C056C">
        <w:tc>
          <w:tcPr>
            <w:tcW w:w="3505" w:type="dxa"/>
          </w:tcPr>
          <w:p w14:paraId="3ABF43FD" w14:textId="77777777" w:rsidR="00CF7F90" w:rsidRDefault="00CF7F90" w:rsidP="00706C3C">
            <w:r>
              <w:t>Dates available</w:t>
            </w:r>
            <w:r w:rsidR="005C2243">
              <w:t xml:space="preserve"> (awards likely to be made </w:t>
            </w:r>
            <w:r w:rsidR="005909D4">
              <w:t>Feb/Mar 202</w:t>
            </w:r>
            <w:r w:rsidR="006B3BF5">
              <w:t>5</w:t>
            </w:r>
            <w:r w:rsidR="005909D4">
              <w:t xml:space="preserve"> for start in Mar/Apr</w:t>
            </w:r>
            <w:r w:rsidR="005C2243">
              <w:t xml:space="preserve"> 202</w:t>
            </w:r>
            <w:r w:rsidR="006B3BF5">
              <w:t>5</w:t>
            </w:r>
            <w:r w:rsidR="005C2243">
              <w:t>)</w:t>
            </w:r>
          </w:p>
          <w:p w14:paraId="56A025C3" w14:textId="77777777" w:rsidR="00CF7F90" w:rsidRDefault="00CF7F90" w:rsidP="00706C3C"/>
        </w:tc>
        <w:tc>
          <w:tcPr>
            <w:tcW w:w="5988" w:type="dxa"/>
          </w:tcPr>
          <w:p w14:paraId="58D59669" w14:textId="77777777" w:rsidR="00CF7F90" w:rsidRDefault="005D4A5E" w:rsidP="00706C3C">
            <w:r>
              <w:t xml:space="preserve">Flexible with availability. </w:t>
            </w:r>
          </w:p>
        </w:tc>
      </w:tr>
      <w:tr w:rsidR="00CF7F90" w14:paraId="1753EADB" w14:textId="77777777" w:rsidTr="003C056C">
        <w:tc>
          <w:tcPr>
            <w:tcW w:w="3505" w:type="dxa"/>
          </w:tcPr>
          <w:p w14:paraId="0D45CF29" w14:textId="77777777" w:rsidR="00CF7F90" w:rsidRDefault="00CF7F90" w:rsidP="00706C3C">
            <w:r>
              <w:t>Mentor(s)</w:t>
            </w:r>
          </w:p>
          <w:p w14:paraId="4A2910B1" w14:textId="77777777" w:rsidR="00CF7F90" w:rsidRDefault="00CF7F90" w:rsidP="00706C3C"/>
        </w:tc>
        <w:tc>
          <w:tcPr>
            <w:tcW w:w="5988" w:type="dxa"/>
          </w:tcPr>
          <w:p w14:paraId="24722401" w14:textId="77777777" w:rsidR="00CF7F90" w:rsidRDefault="00397273" w:rsidP="00706C3C">
            <w:r>
              <w:t>Anna Miell</w:t>
            </w:r>
          </w:p>
          <w:p w14:paraId="49DBFBB3" w14:textId="77777777" w:rsidR="00397273" w:rsidRDefault="00397273" w:rsidP="00706C3C">
            <w:r>
              <w:t>Rachel O’Brien</w:t>
            </w:r>
          </w:p>
        </w:tc>
      </w:tr>
    </w:tbl>
    <w:p w14:paraId="09658B75" w14:textId="77777777" w:rsidR="005C2243" w:rsidRDefault="005C2243"/>
    <w:p w14:paraId="17A3CE50" w14:textId="77777777" w:rsidR="005C2243" w:rsidRDefault="005C2243"/>
    <w:p w14:paraId="022E9F7E" w14:textId="34A1F1FE" w:rsidR="0091462F" w:rsidRDefault="0091462F"/>
    <w:sectPr w:rsidR="0091462F" w:rsidSect="00706C3C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97939"/>
    <w:multiLevelType w:val="hybridMultilevel"/>
    <w:tmpl w:val="95B49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175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C3C"/>
    <w:rsid w:val="00190CBB"/>
    <w:rsid w:val="002B339A"/>
    <w:rsid w:val="00380C0F"/>
    <w:rsid w:val="00397273"/>
    <w:rsid w:val="003C056C"/>
    <w:rsid w:val="00433D25"/>
    <w:rsid w:val="00461298"/>
    <w:rsid w:val="005909D4"/>
    <w:rsid w:val="005B75A8"/>
    <w:rsid w:val="005C2243"/>
    <w:rsid w:val="005D4A5E"/>
    <w:rsid w:val="006B3BF5"/>
    <w:rsid w:val="006B669F"/>
    <w:rsid w:val="00706C3C"/>
    <w:rsid w:val="00730132"/>
    <w:rsid w:val="009043AC"/>
    <w:rsid w:val="0091462F"/>
    <w:rsid w:val="00AE3BF6"/>
    <w:rsid w:val="00B627B2"/>
    <w:rsid w:val="00BD46D8"/>
    <w:rsid w:val="00BD58FE"/>
    <w:rsid w:val="00C96714"/>
    <w:rsid w:val="00CA1106"/>
    <w:rsid w:val="00CB3EB8"/>
    <w:rsid w:val="00CF7F90"/>
    <w:rsid w:val="00D31D7C"/>
    <w:rsid w:val="00E45999"/>
    <w:rsid w:val="00EA6946"/>
    <w:rsid w:val="00F2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C027A"/>
  <w15:docId w15:val="{D48FBB5A-8256-4EE0-A766-26773963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D25"/>
  </w:style>
  <w:style w:type="paragraph" w:styleId="Heading1">
    <w:name w:val="heading 1"/>
    <w:basedOn w:val="Normal"/>
    <w:next w:val="Normal"/>
    <w:link w:val="Heading1Char"/>
    <w:uiPriority w:val="9"/>
    <w:qFormat/>
    <w:rsid w:val="00706C3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002060"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C3C"/>
    <w:rPr>
      <w:rFonts w:asciiTheme="majorHAnsi" w:eastAsiaTheme="majorEastAsia" w:hAnsiTheme="majorHAnsi" w:cstheme="majorBidi"/>
      <w:b/>
      <w:color w:val="002060"/>
      <w:sz w:val="44"/>
      <w:szCs w:val="32"/>
    </w:rPr>
  </w:style>
  <w:style w:type="table" w:styleId="TableGrid">
    <w:name w:val="Table Grid"/>
    <w:basedOn w:val="TableNormal"/>
    <w:uiPriority w:val="39"/>
    <w:rsid w:val="0070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056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5A8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5D4A5E"/>
  </w:style>
  <w:style w:type="paragraph" w:styleId="ListParagraph">
    <w:name w:val="List Paragraph"/>
    <w:basedOn w:val="Normal"/>
    <w:uiPriority w:val="34"/>
    <w:qFormat/>
    <w:rsid w:val="00E45999"/>
    <w:pPr>
      <w:ind w:left="720"/>
      <w:contextualSpacing/>
    </w:pPr>
  </w:style>
  <w:style w:type="paragraph" w:styleId="Revision">
    <w:name w:val="Revision"/>
    <w:hidden/>
    <w:uiPriority w:val="99"/>
    <w:semiHidden/>
    <w:rsid w:val="00380C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ergeresearch.org/studi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inical-research-facility.ed.ac.uk/core-services/education/courses-and-ev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ihr.ac.uk/career-development/clinical-research-courses-and-support/good-clinical-practic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MacArthur, Juliet</dc:creator>
  <cp:lastModifiedBy>MacArthur, Juliet</cp:lastModifiedBy>
  <cp:revision>2</cp:revision>
  <dcterms:created xsi:type="dcterms:W3CDTF">2025-09-16T13:05:00Z</dcterms:created>
  <dcterms:modified xsi:type="dcterms:W3CDTF">2025-09-16T13:05:00Z</dcterms:modified>
</cp:coreProperties>
</file>