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549D" w14:textId="77777777" w:rsidR="00706C3C" w:rsidRPr="00922FF2" w:rsidRDefault="005B75A8" w:rsidP="00706C3C">
      <w:pPr>
        <w:pStyle w:val="Heading1"/>
        <w:jc w:val="center"/>
        <w:rPr>
          <w:rFonts w:asciiTheme="minorHAnsi" w:hAnsiTheme="minorHAnsi" w:cstheme="minorHAnsi"/>
          <w:b w:val="0"/>
          <w:sz w:val="28"/>
          <w:szCs w:val="22"/>
          <w:shd w:val="clear" w:color="auto" w:fill="FFFFFF"/>
        </w:rPr>
      </w:pPr>
      <w:r w:rsidRPr="005B75A8">
        <w:rPr>
          <w:rFonts w:asciiTheme="minorHAnsi" w:hAnsiTheme="minorHAnsi" w:cstheme="minorHAnsi"/>
          <w:noProof/>
          <w:sz w:val="28"/>
          <w:szCs w:val="22"/>
          <w:shd w:val="clear" w:color="auto" w:fill="FFFFFF"/>
          <w:lang w:eastAsia="en-GB"/>
        </w:rPr>
        <w:drawing>
          <wp:inline distT="0" distB="0" distL="0" distR="0" wp14:anchorId="37A64C80" wp14:editId="01D1A52B">
            <wp:extent cx="5731510" cy="723174"/>
            <wp:effectExtent l="19050" t="0" r="25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/>
                  </pic:nvPicPr>
                  <pic:blipFill rotWithShape="1">
                    <a:blip r:embed="rId5" cstate="print"/>
                    <a:srcRect l="5912" t="37022" r="56220" b="44860"/>
                    <a:stretch/>
                  </pic:blipFill>
                  <pic:spPr bwMode="auto">
                    <a:xfrm>
                      <a:off x="0" y="0"/>
                      <a:ext cx="5731510" cy="723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06C3C" w:rsidRPr="00922FF2">
        <w:rPr>
          <w:rFonts w:asciiTheme="minorHAnsi" w:hAnsiTheme="minorHAnsi" w:cstheme="minorHAnsi"/>
          <w:sz w:val="28"/>
          <w:szCs w:val="22"/>
          <w:shd w:val="clear" w:color="auto" w:fill="FFFFFF"/>
        </w:rPr>
        <w:t>Lothian Clinical Academic Pathways Partnership</w:t>
      </w:r>
    </w:p>
    <w:p w14:paraId="7B8DE46C" w14:textId="77777777" w:rsidR="00706C3C" w:rsidRDefault="00706C3C" w:rsidP="00706C3C">
      <w:pPr>
        <w:pStyle w:val="Heading1"/>
        <w:jc w:val="center"/>
        <w:rPr>
          <w:rFonts w:asciiTheme="minorHAnsi" w:hAnsiTheme="minorHAnsi" w:cstheme="minorHAnsi"/>
          <w:sz w:val="28"/>
          <w:szCs w:val="22"/>
          <w:shd w:val="clear" w:color="auto" w:fill="FFFFFF"/>
        </w:rPr>
      </w:pPr>
      <w:r w:rsidRPr="00922FF2">
        <w:rPr>
          <w:rFonts w:asciiTheme="minorHAnsi" w:hAnsiTheme="minorHAnsi" w:cstheme="minorHAnsi"/>
          <w:sz w:val="28"/>
          <w:szCs w:val="22"/>
          <w:shd w:val="clear" w:color="auto" w:fill="FFFFFF"/>
        </w:rPr>
        <w:t>Clinical Academic Research Gateway Funding</w:t>
      </w:r>
    </w:p>
    <w:p w14:paraId="0D80F7D4" w14:textId="50F8CF1C" w:rsidR="00706C3C" w:rsidRPr="00CF7F90" w:rsidRDefault="00706C3C" w:rsidP="00706C3C">
      <w:pPr>
        <w:pStyle w:val="Heading1"/>
        <w:jc w:val="center"/>
        <w:rPr>
          <w:rFonts w:asciiTheme="minorHAnsi" w:hAnsiTheme="minorHAnsi" w:cstheme="minorHAnsi"/>
          <w:sz w:val="28"/>
        </w:rPr>
      </w:pPr>
      <w:r w:rsidRPr="00CF7F90">
        <w:rPr>
          <w:rFonts w:asciiTheme="minorHAnsi" w:hAnsiTheme="minorHAnsi" w:cstheme="minorHAnsi"/>
          <w:sz w:val="28"/>
        </w:rPr>
        <w:t>First Steps into Research Opportunities</w:t>
      </w:r>
      <w:r w:rsidR="00CF7F90">
        <w:rPr>
          <w:rFonts w:asciiTheme="minorHAnsi" w:hAnsiTheme="minorHAnsi" w:cstheme="minorHAnsi"/>
          <w:sz w:val="28"/>
        </w:rPr>
        <w:t xml:space="preserve"> 202</w:t>
      </w:r>
      <w:r w:rsidR="008A6DD7">
        <w:rPr>
          <w:rFonts w:asciiTheme="minorHAnsi" w:hAnsiTheme="minorHAnsi" w:cstheme="minorHAnsi"/>
          <w:sz w:val="28"/>
        </w:rPr>
        <w:t>5</w:t>
      </w:r>
    </w:p>
    <w:p w14:paraId="27B02568" w14:textId="77777777" w:rsidR="00706C3C" w:rsidRDefault="00706C3C" w:rsidP="00706C3C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60"/>
        <w:gridCol w:w="6833"/>
      </w:tblGrid>
      <w:tr w:rsidR="00706C3C" w14:paraId="53D7063E" w14:textId="77777777" w:rsidTr="003C638E">
        <w:tc>
          <w:tcPr>
            <w:tcW w:w="2660" w:type="dxa"/>
          </w:tcPr>
          <w:p w14:paraId="2B97D2C3" w14:textId="77777777" w:rsidR="006B669F" w:rsidRDefault="00706C3C" w:rsidP="00706C3C">
            <w:r>
              <w:t>Institution &amp; Department</w:t>
            </w:r>
          </w:p>
          <w:p w14:paraId="7A7D3D5B" w14:textId="77777777" w:rsidR="00CF7F90" w:rsidRDefault="006B669F" w:rsidP="00706C3C">
            <w:r>
              <w:t>Research Centre (if appropriate)</w:t>
            </w:r>
          </w:p>
        </w:tc>
        <w:tc>
          <w:tcPr>
            <w:tcW w:w="6833" w:type="dxa"/>
          </w:tcPr>
          <w:p w14:paraId="31A7C6F1" w14:textId="77777777" w:rsidR="003C638E" w:rsidRDefault="003C638E" w:rsidP="00706C3C">
            <w:r>
              <w:t xml:space="preserve">Strathclyde Institute of Pharmacy and Biomedical Sciences (SIPBS), University of </w:t>
            </w:r>
            <w:proofErr w:type="gramStart"/>
            <w:r>
              <w:t>Strathclyde;</w:t>
            </w:r>
            <w:proofErr w:type="gramEnd"/>
          </w:p>
          <w:p w14:paraId="0C87E133" w14:textId="77777777" w:rsidR="003C638E" w:rsidRDefault="003C638E" w:rsidP="00706C3C">
            <w:r>
              <w:t xml:space="preserve">Pharmacoepidemiology and Health Service Research </w:t>
            </w:r>
          </w:p>
        </w:tc>
      </w:tr>
      <w:tr w:rsidR="00706C3C" w14:paraId="3FE3A65D" w14:textId="77777777" w:rsidTr="003C638E">
        <w:tc>
          <w:tcPr>
            <w:tcW w:w="2660" w:type="dxa"/>
          </w:tcPr>
          <w:p w14:paraId="7B175282" w14:textId="77777777" w:rsidR="00CF7F90" w:rsidRDefault="00CF7F90" w:rsidP="00706C3C">
            <w:r>
              <w:t>Contact – name, role &amp; email</w:t>
            </w:r>
          </w:p>
        </w:tc>
        <w:tc>
          <w:tcPr>
            <w:tcW w:w="6833" w:type="dxa"/>
          </w:tcPr>
          <w:p w14:paraId="48C54B33" w14:textId="30AA821B" w:rsidR="00AD3BDD" w:rsidRDefault="00AD3BDD" w:rsidP="00706C3C">
            <w:r>
              <w:t xml:space="preserve">Professor Marion Bennie; </w:t>
            </w:r>
            <w:hyperlink r:id="rId6" w:history="1">
              <w:r w:rsidR="008A6DD7" w:rsidRPr="00EE1C42">
                <w:rPr>
                  <w:rStyle w:val="Hyperlink"/>
                </w:rPr>
                <w:t>marion.bennie@strath.ac.uk</w:t>
              </w:r>
            </w:hyperlink>
            <w:r w:rsidR="008A6DD7">
              <w:t xml:space="preserve"> </w:t>
            </w:r>
          </w:p>
          <w:p w14:paraId="53E2B4AC" w14:textId="77777777" w:rsidR="00706C3C" w:rsidRDefault="003C638E" w:rsidP="00706C3C">
            <w:r>
              <w:t xml:space="preserve">Dr Tanja Mueller, Lecturer; </w:t>
            </w:r>
            <w:hyperlink r:id="rId7" w:history="1">
              <w:r w:rsidRPr="00B23B90">
                <w:rPr>
                  <w:rStyle w:val="Hyperlink"/>
                </w:rPr>
                <w:t>tanja.muller@strath.ac.uk</w:t>
              </w:r>
            </w:hyperlink>
          </w:p>
          <w:p w14:paraId="3B3A1FD3" w14:textId="77777777" w:rsidR="003C638E" w:rsidRDefault="003C638E" w:rsidP="00706C3C">
            <w:r>
              <w:t xml:space="preserve">Dr </w:t>
            </w:r>
            <w:proofErr w:type="spellStart"/>
            <w:r>
              <w:t>Amanj</w:t>
            </w:r>
            <w:proofErr w:type="spellEnd"/>
            <w:r>
              <w:t xml:space="preserve"> Kurdi, Reader; </w:t>
            </w:r>
            <w:hyperlink r:id="rId8" w:history="1">
              <w:r w:rsidRPr="00B23B90">
                <w:rPr>
                  <w:rStyle w:val="Hyperlink"/>
                </w:rPr>
                <w:t>amanj.baker@strath.ac.uk</w:t>
              </w:r>
            </w:hyperlink>
            <w:r>
              <w:t xml:space="preserve"> </w:t>
            </w:r>
          </w:p>
        </w:tc>
      </w:tr>
      <w:tr w:rsidR="005C2243" w14:paraId="1B42D483" w14:textId="77777777" w:rsidTr="003C638E">
        <w:tc>
          <w:tcPr>
            <w:tcW w:w="2660" w:type="dxa"/>
          </w:tcPr>
          <w:p w14:paraId="1B7206EB" w14:textId="77777777" w:rsidR="005C2243" w:rsidRDefault="005C2243" w:rsidP="00706C3C">
            <w:r>
              <w:t>Research Project/Programme Title</w:t>
            </w:r>
          </w:p>
          <w:p w14:paraId="008023A4" w14:textId="77777777" w:rsidR="005C2243" w:rsidRDefault="005C2243" w:rsidP="00706C3C"/>
        </w:tc>
        <w:tc>
          <w:tcPr>
            <w:tcW w:w="6833" w:type="dxa"/>
          </w:tcPr>
          <w:p w14:paraId="4EE3FBE1" w14:textId="77777777" w:rsidR="005C2243" w:rsidRDefault="00AD3BDD" w:rsidP="00706C3C">
            <w:r w:rsidRPr="00AD3BDD">
              <w:t>A computerised clinical decision support tool(s) to improve antipsychotic prescribing among hospitalised patients in the acute care setting in Scotland</w:t>
            </w:r>
          </w:p>
        </w:tc>
      </w:tr>
      <w:tr w:rsidR="00706C3C" w14:paraId="033674F3" w14:textId="77777777" w:rsidTr="003C638E">
        <w:tc>
          <w:tcPr>
            <w:tcW w:w="2660" w:type="dxa"/>
          </w:tcPr>
          <w:p w14:paraId="6DDF6880" w14:textId="77777777" w:rsidR="00706C3C" w:rsidRDefault="005C2243" w:rsidP="00706C3C">
            <w:r>
              <w:t>Details of</w:t>
            </w:r>
            <w:r w:rsidR="00CF7F90">
              <w:t xml:space="preserve"> Research Project </w:t>
            </w:r>
            <w:r>
              <w:t>/ Programme</w:t>
            </w:r>
            <w:r w:rsidR="003C056C">
              <w:t xml:space="preserve"> – </w:t>
            </w:r>
            <w:r w:rsidR="003C056C" w:rsidRPr="00F26BD2">
              <w:rPr>
                <w:i/>
              </w:rPr>
              <w:t xml:space="preserve">including </w:t>
            </w:r>
            <w:r>
              <w:rPr>
                <w:i/>
              </w:rPr>
              <w:t xml:space="preserve">funder, team members, </w:t>
            </w:r>
            <w:r w:rsidR="003C056C" w:rsidRPr="00F26BD2">
              <w:rPr>
                <w:i/>
              </w:rPr>
              <w:t>methodology</w:t>
            </w:r>
            <w:r w:rsidR="00F26BD2" w:rsidRPr="00F26BD2">
              <w:rPr>
                <w:i/>
              </w:rPr>
              <w:t>, stage of implementation</w:t>
            </w:r>
          </w:p>
          <w:p w14:paraId="2EB8D835" w14:textId="77777777" w:rsidR="00CF7F90" w:rsidRDefault="00CF7F90" w:rsidP="00706C3C"/>
        </w:tc>
        <w:tc>
          <w:tcPr>
            <w:tcW w:w="6833" w:type="dxa"/>
          </w:tcPr>
          <w:p w14:paraId="044B3DB4" w14:textId="77777777" w:rsidR="00706C3C" w:rsidRDefault="003C638E" w:rsidP="00AD3BDD">
            <w:pPr>
              <w:spacing w:line="276" w:lineRule="auto"/>
            </w:pPr>
            <w:r>
              <w:t xml:space="preserve">This is a </w:t>
            </w:r>
            <w:r w:rsidR="00AD3BDD">
              <w:t>5</w:t>
            </w:r>
            <w:r>
              <w:t xml:space="preserve">-year project funded by </w:t>
            </w:r>
            <w:r w:rsidR="00AD3BDD">
              <w:t xml:space="preserve">HDR UK Driver Programme. The project started in April 2023. </w:t>
            </w:r>
          </w:p>
          <w:p w14:paraId="558ACAB3" w14:textId="77777777" w:rsidR="003C638E" w:rsidRDefault="003C638E" w:rsidP="00AD3BDD">
            <w:pPr>
              <w:spacing w:line="276" w:lineRule="auto"/>
            </w:pPr>
          </w:p>
          <w:p w14:paraId="488F2A97" w14:textId="77777777" w:rsidR="00AD3BDD" w:rsidRDefault="00AD3BDD" w:rsidP="00AD3BDD">
            <w:pPr>
              <w:spacing w:line="276" w:lineRule="auto"/>
              <w:jc w:val="both"/>
            </w:pPr>
            <w:r>
              <w:t>This project aims to</w:t>
            </w:r>
            <w:r w:rsidRPr="004D4825">
              <w:t xml:space="preserve"> </w:t>
            </w:r>
            <w:r>
              <w:t>i</w:t>
            </w:r>
            <w:r w:rsidRPr="00B57196">
              <w:t xml:space="preserve">mprove the appropriate prescribing of </w:t>
            </w:r>
            <w:r>
              <w:t xml:space="preserve">antipsychotics </w:t>
            </w:r>
            <w:r w:rsidRPr="00B57196">
              <w:t>among hospitalised people using computerised clinical decision support tool</w:t>
            </w:r>
            <w:r>
              <w:t>(s)</w:t>
            </w:r>
            <w:r w:rsidRPr="00B57196">
              <w:t xml:space="preserve">, with the </w:t>
            </w:r>
            <w:proofErr w:type="gramStart"/>
            <w:r w:rsidRPr="00B57196">
              <w:t>ultimate goal</w:t>
            </w:r>
            <w:proofErr w:type="gramEnd"/>
            <w:r w:rsidRPr="00B57196">
              <w:t xml:space="preserve"> of improving patients’ safety and reducing harms</w:t>
            </w:r>
            <w:r>
              <w:t>. The programme objectives are:</w:t>
            </w:r>
          </w:p>
          <w:p w14:paraId="3761BC78" w14:textId="77777777" w:rsidR="00AD3BDD" w:rsidRPr="00046723" w:rsidRDefault="00AD3BDD" w:rsidP="00AD3BDD">
            <w:pPr>
              <w:pStyle w:val="pf0"/>
              <w:numPr>
                <w:ilvl w:val="0"/>
                <w:numId w:val="2"/>
              </w:numPr>
              <w:spacing w:line="276" w:lineRule="auto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046723"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:lang w:eastAsia="en-US"/>
              </w:rPr>
              <w:t>To conduct a systematic literature review of antipsychotic treatment in the acute setting (both mental health and non-mental health inpatient hospitals)</w:t>
            </w:r>
          </w:p>
          <w:p w14:paraId="3B882AB9" w14:textId="77777777" w:rsidR="00AD3BDD" w:rsidRPr="00046723" w:rsidRDefault="00AD3BDD" w:rsidP="00AD3BDD">
            <w:pPr>
              <w:pStyle w:val="pf0"/>
              <w:numPr>
                <w:ilvl w:val="0"/>
                <w:numId w:val="2"/>
              </w:numPr>
              <w:spacing w:line="276" w:lineRule="auto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046723"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To quantify the use of high dose antipsychotics in the acute setting in Scotland (and potentially the UK through collaboration with other partners across the UK) </w:t>
            </w:r>
          </w:p>
          <w:p w14:paraId="71DBE0F5" w14:textId="77777777" w:rsidR="00AD3BDD" w:rsidRPr="00046723" w:rsidRDefault="00AD3BDD" w:rsidP="00AD3BDD">
            <w:pPr>
              <w:pStyle w:val="pf0"/>
              <w:numPr>
                <w:ilvl w:val="0"/>
                <w:numId w:val="2"/>
              </w:numPr>
              <w:spacing w:line="276" w:lineRule="auto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046723"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To profile and characterise the patient cohort using high dose antipsychotics in the acute setting </w:t>
            </w:r>
          </w:p>
          <w:p w14:paraId="1B520A79" w14:textId="77777777" w:rsidR="00AD3BDD" w:rsidRPr="00046723" w:rsidRDefault="00AD3BDD" w:rsidP="00AD3BDD">
            <w:pPr>
              <w:pStyle w:val="pf0"/>
              <w:numPr>
                <w:ilvl w:val="0"/>
                <w:numId w:val="2"/>
              </w:numPr>
              <w:spacing w:line="276" w:lineRule="auto"/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046723"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:lang w:eastAsia="en-US"/>
              </w:rPr>
              <w:t>To co-design a computerised clinical decision support tool (early prototype) targeting high-dose antipsychotic prescribing in the acute setting</w:t>
            </w:r>
          </w:p>
          <w:p w14:paraId="356873FD" w14:textId="77777777" w:rsidR="003C638E" w:rsidRPr="00AD3BDD" w:rsidRDefault="00AD3BDD" w:rsidP="00AD3BDD">
            <w:pPr>
              <w:pStyle w:val="pf0"/>
              <w:numPr>
                <w:ilvl w:val="0"/>
                <w:numId w:val="2"/>
              </w:numPr>
              <w:spacing w:line="276" w:lineRule="auto"/>
              <w:rPr>
                <w:rFonts w:ascii="Arial" w:eastAsiaTheme="minorHAnsi" w:hAnsi="Arial" w:cstheme="minorBidi"/>
                <w:kern w:val="2"/>
                <w:sz w:val="20"/>
                <w:szCs w:val="22"/>
                <w:lang w:eastAsia="en-US"/>
              </w:rPr>
            </w:pPr>
            <w:r w:rsidRPr="00046723"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To test and pilot the early designed prototype for feasibility, </w:t>
            </w:r>
            <w:proofErr w:type="gramStart"/>
            <w:r w:rsidRPr="00046723"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:lang w:eastAsia="en-US"/>
              </w:rPr>
              <w:t>usefulness</w:t>
            </w:r>
            <w:proofErr w:type="gramEnd"/>
            <w:r w:rsidRPr="00046723">
              <w:rPr>
                <w:rFonts w:asciiTheme="minorHAnsi" w:eastAsiaTheme="minorHAnsi" w:hAnsiTheme="minorHAnsi" w:cstheme="minorHAnsi"/>
                <w:kern w:val="2"/>
                <w:sz w:val="22"/>
                <w:szCs w:val="22"/>
                <w:lang w:eastAsia="en-US"/>
              </w:rPr>
              <w:t xml:space="preserve"> and ease of use.</w:t>
            </w:r>
          </w:p>
        </w:tc>
      </w:tr>
      <w:tr w:rsidR="00706C3C" w14:paraId="26FED881" w14:textId="77777777" w:rsidTr="003C638E">
        <w:tc>
          <w:tcPr>
            <w:tcW w:w="2660" w:type="dxa"/>
          </w:tcPr>
          <w:p w14:paraId="5B313F0E" w14:textId="77777777" w:rsidR="00F26BD2" w:rsidRDefault="00CF7F90" w:rsidP="00706C3C">
            <w:r>
              <w:t xml:space="preserve">Opportunities for candidate </w:t>
            </w:r>
          </w:p>
          <w:p w14:paraId="0B4CDF72" w14:textId="77777777" w:rsidR="00F26BD2" w:rsidRPr="00F26BD2" w:rsidRDefault="00F26BD2" w:rsidP="00706C3C">
            <w:pPr>
              <w:rPr>
                <w:i/>
              </w:rPr>
            </w:pPr>
            <w:r>
              <w:rPr>
                <w:i/>
              </w:rPr>
              <w:t>e.g. attending meetings; data collection; data management; analysis; ethics application; dissemination activities</w:t>
            </w:r>
          </w:p>
          <w:p w14:paraId="1F24DD5A" w14:textId="77777777" w:rsidR="00706C3C" w:rsidRDefault="00CF7F90" w:rsidP="00706C3C">
            <w:r>
              <w:lastRenderedPageBreak/>
              <w:t>(bullet points)</w:t>
            </w:r>
          </w:p>
          <w:p w14:paraId="644C7D5D" w14:textId="77777777" w:rsidR="00CF7F90" w:rsidRDefault="00CF7F90" w:rsidP="00706C3C"/>
          <w:p w14:paraId="65725769" w14:textId="77777777" w:rsidR="00CF7F90" w:rsidRDefault="00CF7F90" w:rsidP="00706C3C"/>
          <w:p w14:paraId="6E90564C" w14:textId="77777777" w:rsidR="00CF7F90" w:rsidRDefault="00CF7F90" w:rsidP="00706C3C"/>
          <w:p w14:paraId="324B84D1" w14:textId="77777777" w:rsidR="00CF7F90" w:rsidRDefault="00CF7F90" w:rsidP="00706C3C"/>
        </w:tc>
        <w:tc>
          <w:tcPr>
            <w:tcW w:w="6833" w:type="dxa"/>
          </w:tcPr>
          <w:p w14:paraId="16330C49" w14:textId="77777777" w:rsidR="003C638E" w:rsidRDefault="003C638E" w:rsidP="003C638E">
            <w:r>
              <w:lastRenderedPageBreak/>
              <w:t xml:space="preserve">University colleagues who are part of this project are predominantly from the </w:t>
            </w:r>
            <w:hyperlink r:id="rId9" w:history="1">
              <w:r>
                <w:rPr>
                  <w:rStyle w:val="Hyperlink"/>
                </w:rPr>
                <w:t>Pharmacoepidemiology &amp; Health Care Research Group (PEHCR)</w:t>
              </w:r>
            </w:hyperlink>
            <w:r w:rsidR="00AD3BDD">
              <w:rPr>
                <w:rStyle w:val="Hyperlink"/>
              </w:rPr>
              <w:t xml:space="preserve">, </w:t>
            </w:r>
            <w:r w:rsidR="00AD3BDD" w:rsidRPr="00AD3BDD">
              <w:t>but this project is part of a UK wide national programme</w:t>
            </w:r>
            <w:r w:rsidRPr="003C638E">
              <w:t>.</w:t>
            </w:r>
            <w:r w:rsidRPr="00794A57">
              <w:t xml:space="preserve"> </w:t>
            </w:r>
            <w:r>
              <w:t xml:space="preserve">Opportunities could include: </w:t>
            </w:r>
          </w:p>
          <w:p w14:paraId="3F6B1580" w14:textId="77777777" w:rsidR="003C638E" w:rsidRDefault="003C638E" w:rsidP="003C638E">
            <w:pPr>
              <w:pStyle w:val="ListParagraph"/>
              <w:numPr>
                <w:ilvl w:val="0"/>
                <w:numId w:val="1"/>
              </w:numPr>
            </w:pPr>
            <w:r>
              <w:t xml:space="preserve">Meet with </w:t>
            </w:r>
            <w:r w:rsidR="00AD3BDD">
              <w:t>Post doctorate (PDRA)</w:t>
            </w:r>
            <w:r>
              <w:t xml:space="preserve"> and researchers to better understand the academic career pathway and the role of clinicians in </w:t>
            </w:r>
            <w:proofErr w:type="gramStart"/>
            <w:r>
              <w:t>research</w:t>
            </w:r>
            <w:proofErr w:type="gramEnd"/>
          </w:p>
          <w:p w14:paraId="0A24A632" w14:textId="77777777" w:rsidR="003C638E" w:rsidRDefault="003C638E" w:rsidP="003C638E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Attend research team </w:t>
            </w:r>
            <w:proofErr w:type="gramStart"/>
            <w:r>
              <w:t>meetings</w:t>
            </w:r>
            <w:proofErr w:type="gramEnd"/>
          </w:p>
          <w:p w14:paraId="3B0885B6" w14:textId="77777777" w:rsidR="003C638E" w:rsidRDefault="003C638E" w:rsidP="003C638E">
            <w:pPr>
              <w:pStyle w:val="ListParagraph"/>
              <w:numPr>
                <w:ilvl w:val="0"/>
                <w:numId w:val="1"/>
              </w:numPr>
            </w:pPr>
            <w:r>
              <w:t xml:space="preserve">Attend research seminars hosted by PhD students, researchers and academics which may involve presentations, participating with a journal club, or reviewing academic </w:t>
            </w:r>
            <w:proofErr w:type="gramStart"/>
            <w:r>
              <w:t>writing</w:t>
            </w:r>
            <w:proofErr w:type="gramEnd"/>
          </w:p>
          <w:p w14:paraId="50FE5DC6" w14:textId="77777777" w:rsidR="003C638E" w:rsidRDefault="003C638E" w:rsidP="003C638E">
            <w:pPr>
              <w:pStyle w:val="ListParagraph"/>
              <w:numPr>
                <w:ilvl w:val="0"/>
                <w:numId w:val="1"/>
              </w:numPr>
            </w:pPr>
            <w:r>
              <w:t xml:space="preserve">Act as an advisor to review documentation aimed at different stakeholders (e.g., lay summaries) </w:t>
            </w:r>
          </w:p>
          <w:p w14:paraId="496059C8" w14:textId="77777777" w:rsidR="003C638E" w:rsidRDefault="003C638E" w:rsidP="003C638E">
            <w:pPr>
              <w:pStyle w:val="ListParagraph"/>
              <w:numPr>
                <w:ilvl w:val="0"/>
                <w:numId w:val="1"/>
              </w:numPr>
            </w:pPr>
            <w:r>
              <w:t xml:space="preserve">Support the literature search process by identifying newly published research of relevance and/or supporting study selection and data </w:t>
            </w:r>
            <w:proofErr w:type="gramStart"/>
            <w:r>
              <w:t>extraction</w:t>
            </w:r>
            <w:proofErr w:type="gramEnd"/>
          </w:p>
          <w:p w14:paraId="10613A3B" w14:textId="77777777" w:rsidR="00AD3BDD" w:rsidRDefault="00AD3BDD" w:rsidP="003C638E">
            <w:pPr>
              <w:pStyle w:val="ListParagraph"/>
              <w:numPr>
                <w:ilvl w:val="0"/>
                <w:numId w:val="1"/>
              </w:numPr>
            </w:pPr>
            <w:r>
              <w:t xml:space="preserve">Support writing data access application form including an understanding of this </w:t>
            </w:r>
            <w:proofErr w:type="gramStart"/>
            <w:r>
              <w:t>process</w:t>
            </w:r>
            <w:proofErr w:type="gramEnd"/>
            <w:r>
              <w:t xml:space="preserve"> </w:t>
            </w:r>
          </w:p>
          <w:p w14:paraId="7D03A479" w14:textId="77777777" w:rsidR="003C638E" w:rsidRDefault="003C638E" w:rsidP="003C638E">
            <w:pPr>
              <w:pStyle w:val="ListParagraph"/>
              <w:numPr>
                <w:ilvl w:val="0"/>
                <w:numId w:val="1"/>
              </w:numPr>
            </w:pPr>
            <w:r>
              <w:t>Support data generation activities (e.g., participant recruitment, data collection, analysis, report writing)</w:t>
            </w:r>
          </w:p>
          <w:p w14:paraId="0FC9BB42" w14:textId="77777777" w:rsidR="003C638E" w:rsidRDefault="003C638E" w:rsidP="003C638E">
            <w:pPr>
              <w:pStyle w:val="ListParagraph"/>
              <w:numPr>
                <w:ilvl w:val="0"/>
                <w:numId w:val="1"/>
              </w:numPr>
            </w:pPr>
            <w:r>
              <w:t>Support research dissemination activities (e.g., develop a poster / abstract from research findings)</w:t>
            </w:r>
          </w:p>
          <w:p w14:paraId="49218BD9" w14:textId="77777777" w:rsidR="00706C3C" w:rsidRDefault="003C638E" w:rsidP="003C638E">
            <w:pPr>
              <w:pStyle w:val="ListParagraph"/>
              <w:numPr>
                <w:ilvl w:val="0"/>
                <w:numId w:val="1"/>
              </w:numPr>
            </w:pPr>
            <w:r>
              <w:t>Integrate with a team actively writing a paper to understand the publication process</w:t>
            </w:r>
          </w:p>
        </w:tc>
      </w:tr>
      <w:tr w:rsidR="00CF7F90" w14:paraId="178851F9" w14:textId="77777777" w:rsidTr="003C638E">
        <w:tc>
          <w:tcPr>
            <w:tcW w:w="2660" w:type="dxa"/>
          </w:tcPr>
          <w:p w14:paraId="19C48A15" w14:textId="77777777" w:rsidR="00CF7F90" w:rsidRDefault="00F26BD2" w:rsidP="00706C3C">
            <w:r>
              <w:lastRenderedPageBreak/>
              <w:t xml:space="preserve">Any other considerations </w:t>
            </w:r>
            <w:r w:rsidR="006B669F">
              <w:t xml:space="preserve">or information </w:t>
            </w:r>
            <w:r>
              <w:t xml:space="preserve">for potential candidates? </w:t>
            </w:r>
            <w:r w:rsidR="005C2243">
              <w:t>(e.g. potential links to other projects, networking opportunities, specific skills needed)</w:t>
            </w:r>
          </w:p>
        </w:tc>
        <w:tc>
          <w:tcPr>
            <w:tcW w:w="6833" w:type="dxa"/>
          </w:tcPr>
          <w:p w14:paraId="23F20A78" w14:textId="77777777" w:rsidR="00CF7F90" w:rsidRDefault="00AD3BDD" w:rsidP="00706C3C">
            <w:r>
              <w:t xml:space="preserve">This project is amid to use NHS Lothian as a test </w:t>
            </w:r>
            <w:proofErr w:type="gramStart"/>
            <w:r>
              <w:t>site</w:t>
            </w:r>
            <w:proofErr w:type="gramEnd"/>
            <w:r>
              <w:t xml:space="preserve"> and we have already in engaged with the mental health clinical community at NHS Lothian. </w:t>
            </w:r>
          </w:p>
        </w:tc>
      </w:tr>
      <w:tr w:rsidR="00CF7F90" w14:paraId="531F5D8C" w14:textId="77777777" w:rsidTr="003C638E">
        <w:tc>
          <w:tcPr>
            <w:tcW w:w="2660" w:type="dxa"/>
          </w:tcPr>
          <w:p w14:paraId="63BD6FA8" w14:textId="77777777" w:rsidR="00CF7F90" w:rsidRDefault="00CF7F90" w:rsidP="00706C3C">
            <w:r>
              <w:t>Dates available</w:t>
            </w:r>
            <w:r w:rsidR="005C2243">
              <w:t xml:space="preserve"> (awards likely to be made </w:t>
            </w:r>
            <w:r w:rsidR="005909D4">
              <w:t>Feb/Mar 2024 for start in Mar/Apr</w:t>
            </w:r>
            <w:r w:rsidR="005C2243">
              <w:t xml:space="preserve"> 202</w:t>
            </w:r>
            <w:r w:rsidR="002616FF">
              <w:t>4</w:t>
            </w:r>
            <w:r w:rsidR="005C2243">
              <w:t>)</w:t>
            </w:r>
          </w:p>
          <w:p w14:paraId="757174B1" w14:textId="77777777" w:rsidR="00CF7F90" w:rsidRDefault="00CF7F90" w:rsidP="00706C3C"/>
        </w:tc>
        <w:tc>
          <w:tcPr>
            <w:tcW w:w="6833" w:type="dxa"/>
          </w:tcPr>
          <w:p w14:paraId="1C96A363" w14:textId="77777777" w:rsidR="003C638E" w:rsidRDefault="003C638E" w:rsidP="003C638E">
            <w:r>
              <w:t>January 2024 onwards</w:t>
            </w:r>
          </w:p>
          <w:p w14:paraId="5A06D4D2" w14:textId="77777777" w:rsidR="00CF7F90" w:rsidRDefault="003C638E" w:rsidP="003C638E">
            <w:r>
              <w:t>Dates can be flexible depending on applicant’s preference. A calendar of Pharmacoepidemiology &amp; Health Care Research meetings and events can be disseminated in advance for the applicant to identify those of most interest.</w:t>
            </w:r>
          </w:p>
        </w:tc>
      </w:tr>
      <w:tr w:rsidR="00CF7F90" w14:paraId="40C9B652" w14:textId="77777777" w:rsidTr="003C638E">
        <w:tc>
          <w:tcPr>
            <w:tcW w:w="2660" w:type="dxa"/>
          </w:tcPr>
          <w:p w14:paraId="755494DB" w14:textId="77777777" w:rsidR="00CF7F90" w:rsidRDefault="00CF7F90" w:rsidP="00706C3C">
            <w:r>
              <w:t>Mentor(s)</w:t>
            </w:r>
          </w:p>
        </w:tc>
        <w:tc>
          <w:tcPr>
            <w:tcW w:w="6833" w:type="dxa"/>
          </w:tcPr>
          <w:p w14:paraId="48DF7CF6" w14:textId="77777777" w:rsidR="00CF7F90" w:rsidRDefault="003C638E" w:rsidP="00706C3C">
            <w:r>
              <w:t>To be decided upon depending on applicant’s identified support needs</w:t>
            </w:r>
          </w:p>
        </w:tc>
      </w:tr>
    </w:tbl>
    <w:p w14:paraId="1564302C" w14:textId="77777777" w:rsidR="005C2243" w:rsidRDefault="005C2243"/>
    <w:p w14:paraId="3F98CD4B" w14:textId="77777777" w:rsidR="005C2243" w:rsidRDefault="005C2243"/>
    <w:sectPr w:rsidR="005C2243" w:rsidSect="00706C3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F1004"/>
    <w:multiLevelType w:val="hybridMultilevel"/>
    <w:tmpl w:val="1AACAC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97F3A"/>
    <w:multiLevelType w:val="hybridMultilevel"/>
    <w:tmpl w:val="EE2256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8885546">
    <w:abstractNumId w:val="1"/>
  </w:num>
  <w:num w:numId="2" w16cid:durableId="975187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3C"/>
    <w:rsid w:val="00046723"/>
    <w:rsid w:val="002616FF"/>
    <w:rsid w:val="003C056C"/>
    <w:rsid w:val="003C638E"/>
    <w:rsid w:val="00433D25"/>
    <w:rsid w:val="005909D4"/>
    <w:rsid w:val="005B75A8"/>
    <w:rsid w:val="005C2243"/>
    <w:rsid w:val="006B669F"/>
    <w:rsid w:val="00706C3C"/>
    <w:rsid w:val="008A6DD7"/>
    <w:rsid w:val="0091462F"/>
    <w:rsid w:val="00AD3BDD"/>
    <w:rsid w:val="00B627B2"/>
    <w:rsid w:val="00CB3EB8"/>
    <w:rsid w:val="00CF7F90"/>
    <w:rsid w:val="00D06B70"/>
    <w:rsid w:val="00F2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25CFC"/>
  <w15:docId w15:val="{DE1EA156-1B04-4FA8-8D47-8F9181BD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D25"/>
  </w:style>
  <w:style w:type="paragraph" w:styleId="Heading1">
    <w:name w:val="heading 1"/>
    <w:basedOn w:val="Normal"/>
    <w:next w:val="Normal"/>
    <w:link w:val="Heading1Char"/>
    <w:uiPriority w:val="9"/>
    <w:qFormat/>
    <w:rsid w:val="00706C3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002060"/>
      <w:sz w:val="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C3C"/>
    <w:rPr>
      <w:rFonts w:asciiTheme="majorHAnsi" w:eastAsiaTheme="majorEastAsia" w:hAnsiTheme="majorHAnsi" w:cstheme="majorBidi"/>
      <w:b/>
      <w:color w:val="002060"/>
      <w:sz w:val="44"/>
      <w:szCs w:val="32"/>
    </w:rPr>
  </w:style>
  <w:style w:type="table" w:styleId="TableGrid">
    <w:name w:val="Table Grid"/>
    <w:basedOn w:val="TableNormal"/>
    <w:uiPriority w:val="39"/>
    <w:rsid w:val="00706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05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5A8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638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638E"/>
    <w:pPr>
      <w:ind w:left="720"/>
      <w:contextualSpacing/>
    </w:pPr>
  </w:style>
  <w:style w:type="paragraph" w:customStyle="1" w:styleId="pf0">
    <w:name w:val="pf0"/>
    <w:basedOn w:val="Normal"/>
    <w:rsid w:val="00AD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A6D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j.baker@strath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nja.muller@strath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on.bennie@strath.ac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rath.ac.uk/research/subjects/pharmacybiomedicalsciences/pharmacoepidemiologyandhealthca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MacArthur, Juliet</dc:creator>
  <cp:lastModifiedBy>MacArthur, Juliet</cp:lastModifiedBy>
  <cp:revision>2</cp:revision>
  <dcterms:created xsi:type="dcterms:W3CDTF">2024-10-31T15:53:00Z</dcterms:created>
  <dcterms:modified xsi:type="dcterms:W3CDTF">2024-10-31T15:53:00Z</dcterms:modified>
</cp:coreProperties>
</file>