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6351A" w14:textId="2E67425C" w:rsidR="00706C3C" w:rsidRPr="003815A8" w:rsidRDefault="003815A8" w:rsidP="003815A8">
      <w:pPr>
        <w:pStyle w:val="Heading1"/>
        <w:jc w:val="center"/>
        <w:rPr>
          <w:rFonts w:asciiTheme="minorHAnsi" w:hAnsiTheme="minorHAnsi" w:cstheme="minorHAnsi"/>
          <w:sz w:val="28"/>
          <w:szCs w:val="22"/>
          <w:shd w:val="clear" w:color="auto" w:fill="FFFFFF"/>
        </w:rPr>
      </w:pPr>
      <w:r>
        <w:rPr>
          <w:rFonts w:asciiTheme="minorHAnsi" w:hAnsiTheme="minorHAnsi" w:cstheme="minorHAnsi"/>
          <w:b w:val="0"/>
          <w:noProof/>
          <w:sz w:val="22"/>
          <w:szCs w:val="22"/>
        </w:rPr>
        <w:drawing>
          <wp:inline distT="0" distB="0" distL="0" distR="0" wp14:anchorId="20BC0851" wp14:editId="35A1B709">
            <wp:extent cx="5731510" cy="4927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8"/>
          <w:szCs w:val="22"/>
          <w:shd w:val="clear" w:color="auto" w:fill="FFFFFF"/>
        </w:rPr>
        <w:br/>
      </w:r>
      <w:r>
        <w:rPr>
          <w:rFonts w:ascii="Calibri Light" w:hAnsi="Calibri Light" w:cs="Calibri Light"/>
          <w:b w:val="0"/>
          <w:bCs/>
          <w:szCs w:val="44"/>
          <w:shd w:val="clear" w:color="auto" w:fill="FFFFFF"/>
        </w:rPr>
        <w:br/>
      </w:r>
      <w:r w:rsidR="00706C3C" w:rsidRPr="00922FF2">
        <w:rPr>
          <w:rFonts w:asciiTheme="minorHAnsi" w:hAnsiTheme="minorHAnsi" w:cstheme="minorHAnsi"/>
          <w:sz w:val="28"/>
          <w:szCs w:val="22"/>
          <w:shd w:val="clear" w:color="auto" w:fill="FFFFFF"/>
        </w:rPr>
        <w:t>Lothian Clinical Academic Pathways Partnership</w:t>
      </w:r>
    </w:p>
    <w:p w14:paraId="0ACFFCD7" w14:textId="77777777" w:rsidR="00706C3C" w:rsidRDefault="00706C3C" w:rsidP="00706C3C">
      <w:pPr>
        <w:pStyle w:val="Heading1"/>
        <w:jc w:val="center"/>
        <w:rPr>
          <w:rFonts w:asciiTheme="minorHAnsi" w:hAnsiTheme="minorHAnsi" w:cstheme="minorHAnsi"/>
          <w:sz w:val="28"/>
          <w:szCs w:val="22"/>
          <w:shd w:val="clear" w:color="auto" w:fill="FFFFFF"/>
        </w:rPr>
      </w:pPr>
      <w:r w:rsidRPr="00922FF2">
        <w:rPr>
          <w:rFonts w:asciiTheme="minorHAnsi" w:hAnsiTheme="minorHAnsi" w:cstheme="minorHAnsi"/>
          <w:sz w:val="28"/>
          <w:szCs w:val="22"/>
          <w:shd w:val="clear" w:color="auto" w:fill="FFFFFF"/>
        </w:rPr>
        <w:t>Clinical Academic Research Gateway Funding</w:t>
      </w:r>
    </w:p>
    <w:p w14:paraId="68238823" w14:textId="2C0758EE" w:rsidR="00706C3C" w:rsidRPr="00CF7F90" w:rsidRDefault="00706C3C" w:rsidP="00706C3C">
      <w:pPr>
        <w:pStyle w:val="Heading1"/>
        <w:jc w:val="center"/>
        <w:rPr>
          <w:rFonts w:asciiTheme="minorHAnsi" w:hAnsiTheme="minorHAnsi" w:cstheme="minorHAnsi"/>
          <w:sz w:val="28"/>
        </w:rPr>
      </w:pPr>
      <w:r w:rsidRPr="00CF7F90">
        <w:rPr>
          <w:rFonts w:asciiTheme="minorHAnsi" w:hAnsiTheme="minorHAnsi" w:cstheme="minorHAnsi"/>
          <w:sz w:val="28"/>
        </w:rPr>
        <w:t>First Steps into Research Opportunities</w:t>
      </w:r>
      <w:r w:rsidR="00CF7F90">
        <w:rPr>
          <w:rFonts w:asciiTheme="minorHAnsi" w:hAnsiTheme="minorHAnsi" w:cstheme="minorHAnsi"/>
          <w:sz w:val="28"/>
        </w:rPr>
        <w:t xml:space="preserve"> 202</w:t>
      </w:r>
      <w:r w:rsidR="00332050">
        <w:rPr>
          <w:rFonts w:asciiTheme="minorHAnsi" w:hAnsiTheme="minorHAnsi" w:cstheme="minorHAnsi"/>
          <w:sz w:val="28"/>
        </w:rPr>
        <w:t>3</w:t>
      </w:r>
    </w:p>
    <w:p w14:paraId="362AA438" w14:textId="77777777" w:rsidR="00706C3C" w:rsidRDefault="00706C3C" w:rsidP="00706C3C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505"/>
        <w:gridCol w:w="5988"/>
      </w:tblGrid>
      <w:tr w:rsidR="00706C3C" w14:paraId="6E90D844" w14:textId="77777777" w:rsidTr="003C056C">
        <w:tc>
          <w:tcPr>
            <w:tcW w:w="3505" w:type="dxa"/>
          </w:tcPr>
          <w:p w14:paraId="78FB3652" w14:textId="2BA7BFBC" w:rsidR="00CF7F90" w:rsidRDefault="00706C3C" w:rsidP="00706C3C">
            <w:r>
              <w:t>Institution &amp; Department</w:t>
            </w:r>
          </w:p>
        </w:tc>
        <w:tc>
          <w:tcPr>
            <w:tcW w:w="5988" w:type="dxa"/>
          </w:tcPr>
          <w:p w14:paraId="585FCEE4" w14:textId="2D4C8DF0" w:rsidR="00706C3C" w:rsidRDefault="00356EFE" w:rsidP="00706C3C">
            <w:r>
              <w:t>Computer and Information Science, University of Strathclyde</w:t>
            </w:r>
          </w:p>
        </w:tc>
      </w:tr>
      <w:tr w:rsidR="00706C3C" w14:paraId="67E38946" w14:textId="77777777" w:rsidTr="003C056C">
        <w:tc>
          <w:tcPr>
            <w:tcW w:w="3505" w:type="dxa"/>
          </w:tcPr>
          <w:p w14:paraId="45C5A7EE" w14:textId="77777777" w:rsidR="00706C3C" w:rsidRDefault="00CF7F90" w:rsidP="00706C3C">
            <w:r>
              <w:t>Contact – name, role &amp; email</w:t>
            </w:r>
          </w:p>
          <w:p w14:paraId="4AC83FC9" w14:textId="77777777" w:rsidR="00CF7F90" w:rsidRDefault="00CF7F90" w:rsidP="00706C3C"/>
        </w:tc>
        <w:tc>
          <w:tcPr>
            <w:tcW w:w="5988" w:type="dxa"/>
          </w:tcPr>
          <w:p w14:paraId="785925E5" w14:textId="0EBDC85C" w:rsidR="00356EFE" w:rsidRDefault="00356EFE" w:rsidP="00706C3C">
            <w:r>
              <w:t>Marilyn Lennon</w:t>
            </w:r>
            <w:r w:rsidR="00423FD7">
              <w:t xml:space="preserve">, </w:t>
            </w:r>
            <w:r w:rsidR="00D335FE">
              <w:t>Professor</w:t>
            </w:r>
          </w:p>
          <w:p w14:paraId="7F43D230" w14:textId="6EDB9111" w:rsidR="00706C3C" w:rsidRDefault="00356EFE" w:rsidP="00706C3C">
            <w:r w:rsidRPr="00356EFE">
              <w:t>marilyn.lennon@strath.ac.uk</w:t>
            </w:r>
          </w:p>
        </w:tc>
      </w:tr>
      <w:tr w:rsidR="00706C3C" w14:paraId="57F0A8F3" w14:textId="77777777" w:rsidTr="003C056C">
        <w:tc>
          <w:tcPr>
            <w:tcW w:w="3505" w:type="dxa"/>
          </w:tcPr>
          <w:p w14:paraId="3326DC9D" w14:textId="6EE526E4" w:rsidR="00CF7F90" w:rsidRDefault="00CF7F90" w:rsidP="00706C3C">
            <w:r>
              <w:t>Research Theme</w:t>
            </w:r>
            <w:r w:rsidR="00F26BD2">
              <w:t xml:space="preserve"> </w:t>
            </w:r>
          </w:p>
        </w:tc>
        <w:tc>
          <w:tcPr>
            <w:tcW w:w="5988" w:type="dxa"/>
          </w:tcPr>
          <w:p w14:paraId="74EA3498" w14:textId="156C2C9C" w:rsidR="00706C3C" w:rsidRDefault="00291DCA" w:rsidP="00706C3C">
            <w:r>
              <w:t>Digit</w:t>
            </w:r>
            <w:r w:rsidR="003531F6">
              <w:t xml:space="preserve">al Health and Wellness </w:t>
            </w:r>
          </w:p>
        </w:tc>
      </w:tr>
      <w:tr w:rsidR="00706C3C" w14:paraId="3025931A" w14:textId="77777777" w:rsidTr="003C056C">
        <w:tc>
          <w:tcPr>
            <w:tcW w:w="3505" w:type="dxa"/>
          </w:tcPr>
          <w:p w14:paraId="468E4453" w14:textId="77777777" w:rsidR="00706C3C" w:rsidRDefault="00CF7F90" w:rsidP="00706C3C">
            <w:r>
              <w:t xml:space="preserve">Specific Research </w:t>
            </w:r>
            <w:proofErr w:type="gramStart"/>
            <w:r>
              <w:t xml:space="preserve">Project </w:t>
            </w:r>
            <w:r w:rsidR="003C056C">
              <w:t xml:space="preserve"> –</w:t>
            </w:r>
            <w:proofErr w:type="gramEnd"/>
            <w:r w:rsidR="003C056C">
              <w:t xml:space="preserve"> </w:t>
            </w:r>
            <w:r w:rsidR="003C056C" w:rsidRPr="00F26BD2">
              <w:rPr>
                <w:i/>
              </w:rPr>
              <w:t>including methodology</w:t>
            </w:r>
            <w:r w:rsidR="00F26BD2" w:rsidRPr="00F26BD2">
              <w:rPr>
                <w:i/>
              </w:rPr>
              <w:t>, stage of implementation</w:t>
            </w:r>
          </w:p>
          <w:p w14:paraId="5ADFFA05" w14:textId="77777777" w:rsidR="00CF7F90" w:rsidRDefault="00CF7F90" w:rsidP="00706C3C"/>
        </w:tc>
        <w:tc>
          <w:tcPr>
            <w:tcW w:w="5988" w:type="dxa"/>
          </w:tcPr>
          <w:p w14:paraId="6C7EE358" w14:textId="69FB0347" w:rsidR="00291DCA" w:rsidRPr="00E613AE" w:rsidRDefault="000E29B8" w:rsidP="00706C3C">
            <w:pPr>
              <w:rPr>
                <w:rFonts w:cstheme="minorHAnsi"/>
              </w:rPr>
            </w:pPr>
            <w:r w:rsidRPr="00E613AE">
              <w:rPr>
                <w:rFonts w:cstheme="minorHAnsi"/>
              </w:rPr>
              <w:t xml:space="preserve">The Digital Health and Wellness Group focus on areas relating to technology, behaviour &amp; behaviour change, health effects, globalisation &amp; non-communicable disease (NCD), and measurement. </w:t>
            </w:r>
            <w:r w:rsidR="00356EFE" w:rsidRPr="00E613AE">
              <w:rPr>
                <w:rFonts w:cstheme="minorHAnsi"/>
              </w:rPr>
              <w:t>A successful applicant could align to o</w:t>
            </w:r>
            <w:r w:rsidR="00291DCA" w:rsidRPr="00E613AE">
              <w:rPr>
                <w:rFonts w:cstheme="minorHAnsi"/>
              </w:rPr>
              <w:t>ne or more projects</w:t>
            </w:r>
            <w:r w:rsidR="006A7D0A" w:rsidRPr="00E613AE">
              <w:rPr>
                <w:rFonts w:cstheme="minorHAnsi"/>
              </w:rPr>
              <w:t>,</w:t>
            </w:r>
            <w:r w:rsidR="00291DCA" w:rsidRPr="00E613AE">
              <w:rPr>
                <w:rFonts w:cstheme="minorHAnsi"/>
              </w:rPr>
              <w:t xml:space="preserve"> </w:t>
            </w:r>
            <w:r w:rsidR="00356EFE" w:rsidRPr="00E613AE">
              <w:rPr>
                <w:rFonts w:cstheme="minorHAnsi"/>
              </w:rPr>
              <w:t xml:space="preserve">depending on </w:t>
            </w:r>
            <w:proofErr w:type="spellStart"/>
            <w:r w:rsidR="00356EFE" w:rsidRPr="00E613AE">
              <w:rPr>
                <w:rFonts w:cstheme="minorHAnsi"/>
              </w:rPr>
              <w:t>there</w:t>
            </w:r>
            <w:proofErr w:type="spellEnd"/>
            <w:r w:rsidR="00356EFE" w:rsidRPr="00E613AE">
              <w:rPr>
                <w:rFonts w:cstheme="minorHAnsi"/>
              </w:rPr>
              <w:t xml:space="preserve"> area of interest. </w:t>
            </w:r>
            <w:r w:rsidR="00291DCA" w:rsidRPr="00E613AE">
              <w:rPr>
                <w:rFonts w:cstheme="minorHAnsi"/>
              </w:rPr>
              <w:t xml:space="preserve">Examples of </w:t>
            </w:r>
            <w:r w:rsidR="00CA6D3D" w:rsidRPr="00E613AE">
              <w:rPr>
                <w:rFonts w:cstheme="minorHAnsi"/>
              </w:rPr>
              <w:t>established</w:t>
            </w:r>
            <w:r w:rsidR="00291DCA" w:rsidRPr="00E613AE">
              <w:rPr>
                <w:rFonts w:cstheme="minorHAnsi"/>
              </w:rPr>
              <w:t xml:space="preserve"> projects include:</w:t>
            </w:r>
          </w:p>
          <w:p w14:paraId="36C061DC" w14:textId="77777777" w:rsidR="009B259F" w:rsidRPr="00E613AE" w:rsidRDefault="009B259F" w:rsidP="00706C3C">
            <w:pPr>
              <w:rPr>
                <w:rFonts w:cstheme="minorHAnsi"/>
              </w:rPr>
            </w:pPr>
          </w:p>
          <w:p w14:paraId="2E9D2CF1" w14:textId="691B8748" w:rsidR="009B259F" w:rsidRPr="00E613AE" w:rsidRDefault="00D335FE" w:rsidP="009B259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AICE</w:t>
            </w:r>
            <w:r w:rsidR="00356EFE" w:rsidRPr="00E613AE"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  <w:b/>
              </w:rPr>
              <w:t>Artificially Intelligent Colon Endoscopy</w:t>
            </w:r>
            <w:r w:rsidR="009B259F" w:rsidRPr="00E613AE">
              <w:rPr>
                <w:rFonts w:cstheme="minorHAnsi"/>
                <w:b/>
              </w:rPr>
              <w:t xml:space="preserve">: </w:t>
            </w:r>
            <w:r w:rsidR="009B259F" w:rsidRPr="00E613AE">
              <w:rPr>
                <w:rFonts w:cstheme="minorHAnsi"/>
              </w:rPr>
              <w:t xml:space="preserve">The study </w:t>
            </w:r>
            <w:r w:rsidR="00E613AE" w:rsidRPr="00E613AE">
              <w:rPr>
                <w:rFonts w:cstheme="minorHAnsi"/>
              </w:rPr>
              <w:t>aims</w:t>
            </w:r>
            <w:r w:rsidR="009B259F" w:rsidRPr="00E613AE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use AI to develop colon cancer screening using a smart pill with cameras that take images as it travels through the bowel (instead of more invasive colonoscopy). We are looking at developing a PREM (patient reported experience measure) and a digital patient companion app.</w:t>
            </w:r>
          </w:p>
          <w:p w14:paraId="19B0CEDE" w14:textId="77777777" w:rsidR="000E29B8" w:rsidRPr="00E613AE" w:rsidRDefault="000E29B8" w:rsidP="009B259F">
            <w:pPr>
              <w:rPr>
                <w:rFonts w:cstheme="minorHAnsi"/>
              </w:rPr>
            </w:pPr>
          </w:p>
          <w:p w14:paraId="007C9682" w14:textId="01B8C0A6" w:rsidR="00852EFE" w:rsidRPr="00E613AE" w:rsidRDefault="00852EFE" w:rsidP="00852EFE">
            <w:pPr>
              <w:rPr>
                <w:rFonts w:cstheme="minorHAnsi"/>
              </w:rPr>
            </w:pPr>
            <w:r w:rsidRPr="00E613AE">
              <w:rPr>
                <w:rFonts w:cstheme="minorHAnsi"/>
                <w:b/>
                <w:bCs/>
              </w:rPr>
              <w:t xml:space="preserve">ADLIFE: </w:t>
            </w:r>
            <w:r w:rsidRPr="00E613AE">
              <w:rPr>
                <w:rFonts w:cstheme="minorHAnsi"/>
              </w:rPr>
              <w:t>ADLIFE is a multi-centre, European funded project that involves 7 clinical sites (2 in the UK). The project will address the challenges associated with living with advanced chronic illnesses</w:t>
            </w:r>
            <w:r w:rsidR="00332050">
              <w:rPr>
                <w:rFonts w:cstheme="minorHAnsi"/>
              </w:rPr>
              <w:t xml:space="preserve">, such as b supporting carers and </w:t>
            </w:r>
            <w:r w:rsidRPr="00E613AE">
              <w:rPr>
                <w:rFonts w:cstheme="minorHAnsi"/>
              </w:rPr>
              <w:t>through the deployment of 2 digitally enabled health interventions (</w:t>
            </w:r>
            <w:proofErr w:type="spellStart"/>
            <w:r w:rsidRPr="00E613AE">
              <w:rPr>
                <w:rFonts w:cstheme="minorHAnsi"/>
              </w:rPr>
              <w:t>i</w:t>
            </w:r>
            <w:proofErr w:type="spellEnd"/>
            <w:r w:rsidRPr="00E613AE">
              <w:rPr>
                <w:rFonts w:cstheme="minorHAnsi"/>
              </w:rPr>
              <w:t>) a Personalised Care Plan Management Platform for clinicians and (ii) a Patient Empowerment Platform for patients.</w:t>
            </w:r>
          </w:p>
          <w:p w14:paraId="194DA806" w14:textId="77777777" w:rsidR="00852EFE" w:rsidRPr="00E613AE" w:rsidRDefault="00852EFE" w:rsidP="00852EFE">
            <w:pPr>
              <w:rPr>
                <w:rFonts w:cstheme="minorHAnsi"/>
              </w:rPr>
            </w:pPr>
          </w:p>
          <w:p w14:paraId="52014EB4" w14:textId="5309D7A8" w:rsidR="00356EFE" w:rsidRPr="00E613AE" w:rsidRDefault="00852EFE" w:rsidP="00356EFE">
            <w:pPr>
              <w:rPr>
                <w:rFonts w:cstheme="minorHAnsi"/>
              </w:rPr>
            </w:pPr>
            <w:r w:rsidRPr="00E613AE">
              <w:rPr>
                <w:rFonts w:cstheme="minorHAnsi"/>
                <w:b/>
                <w:bCs/>
              </w:rPr>
              <w:t xml:space="preserve">CARE-PAC: </w:t>
            </w:r>
            <w:r w:rsidRPr="00E613AE">
              <w:rPr>
                <w:rFonts w:cstheme="minorHAnsi"/>
              </w:rPr>
              <w:t>This is a feasibility study to explore a remote monitoring and support system for patients and informal carers called the Care and Support System for Patients and Carers (CARE-PAC) during the last 6 months of life</w:t>
            </w:r>
            <w:r w:rsidR="00332050">
              <w:rPr>
                <w:rFonts w:cstheme="minorHAnsi"/>
              </w:rPr>
              <w:t xml:space="preserve"> in Scotland and England</w:t>
            </w:r>
            <w:r w:rsidRPr="00E613AE">
              <w:rPr>
                <w:rFonts w:cstheme="minorHAnsi"/>
              </w:rPr>
              <w:t xml:space="preserve">. </w:t>
            </w:r>
          </w:p>
          <w:p w14:paraId="3F25EC98" w14:textId="77777777" w:rsidR="00852EFE" w:rsidRPr="00E613AE" w:rsidRDefault="00852EFE" w:rsidP="00356EFE">
            <w:pPr>
              <w:rPr>
                <w:rFonts w:cstheme="minorHAnsi"/>
              </w:rPr>
            </w:pPr>
          </w:p>
          <w:p w14:paraId="5D8771CC" w14:textId="0FDE6902" w:rsidR="00356EFE" w:rsidRPr="00E613AE" w:rsidRDefault="00356EFE" w:rsidP="00356EFE">
            <w:pPr>
              <w:rPr>
                <w:rFonts w:cstheme="minorHAnsi"/>
              </w:rPr>
            </w:pPr>
            <w:r w:rsidRPr="00E613AE">
              <w:rPr>
                <w:rFonts w:cstheme="minorHAnsi"/>
              </w:rPr>
              <w:t>In addition to</w:t>
            </w:r>
            <w:r w:rsidR="009B259F" w:rsidRPr="00E613AE">
              <w:rPr>
                <w:rFonts w:cstheme="minorHAnsi"/>
              </w:rPr>
              <w:t xml:space="preserve"> the applicant’s</w:t>
            </w:r>
            <w:r w:rsidRPr="00E613AE">
              <w:rPr>
                <w:rFonts w:cstheme="minorHAnsi"/>
              </w:rPr>
              <w:t xml:space="preserve"> involvement with </w:t>
            </w:r>
            <w:r w:rsidR="009B259F" w:rsidRPr="00E613AE">
              <w:rPr>
                <w:rFonts w:cstheme="minorHAnsi"/>
              </w:rPr>
              <w:t>established</w:t>
            </w:r>
            <w:r w:rsidRPr="00E613AE">
              <w:rPr>
                <w:rFonts w:cstheme="minorHAnsi"/>
              </w:rPr>
              <w:t xml:space="preserve"> research projects, </w:t>
            </w:r>
            <w:r w:rsidR="00E613AE" w:rsidRPr="00E613AE">
              <w:rPr>
                <w:rFonts w:cstheme="minorHAnsi"/>
              </w:rPr>
              <w:t xml:space="preserve">such as the above, </w:t>
            </w:r>
            <w:r w:rsidRPr="00E613AE">
              <w:rPr>
                <w:rFonts w:cstheme="minorHAnsi"/>
              </w:rPr>
              <w:t xml:space="preserve">there is opportunity for the applicant to facilitate </w:t>
            </w:r>
            <w:r w:rsidR="009B259F" w:rsidRPr="00E613AE">
              <w:rPr>
                <w:rFonts w:cstheme="minorHAnsi"/>
              </w:rPr>
              <w:t>the</w:t>
            </w:r>
            <w:r w:rsidRPr="00E613AE">
              <w:rPr>
                <w:rFonts w:cstheme="minorHAnsi"/>
              </w:rPr>
              <w:t xml:space="preserve"> conceptualisation and development of new research projects building upon their clinical experience. </w:t>
            </w:r>
          </w:p>
        </w:tc>
      </w:tr>
      <w:tr w:rsidR="00706C3C" w14:paraId="11027481" w14:textId="77777777" w:rsidTr="009B259F">
        <w:trPr>
          <w:trHeight w:val="68"/>
        </w:trPr>
        <w:tc>
          <w:tcPr>
            <w:tcW w:w="3505" w:type="dxa"/>
          </w:tcPr>
          <w:p w14:paraId="2C8906D1" w14:textId="77777777" w:rsidR="00F26BD2" w:rsidRDefault="00CF7F90" w:rsidP="00706C3C">
            <w:r>
              <w:t xml:space="preserve">Opportunities for candidate </w:t>
            </w:r>
          </w:p>
          <w:p w14:paraId="1FD74683" w14:textId="77777777" w:rsidR="00F26BD2" w:rsidRPr="00F26BD2" w:rsidRDefault="00F26BD2" w:rsidP="00706C3C">
            <w:pPr>
              <w:rPr>
                <w:i/>
              </w:rPr>
            </w:pPr>
            <w:r>
              <w:rPr>
                <w:i/>
              </w:rPr>
              <w:t xml:space="preserve">e.g. attending meetings; data collection; data management; </w:t>
            </w:r>
            <w:r>
              <w:rPr>
                <w:i/>
              </w:rPr>
              <w:lastRenderedPageBreak/>
              <w:t>analysis; ethics application; dissemination activities</w:t>
            </w:r>
          </w:p>
          <w:p w14:paraId="20B8C71D" w14:textId="77777777" w:rsidR="00706C3C" w:rsidRDefault="00CF7F90" w:rsidP="00706C3C">
            <w:r>
              <w:t>(bullet points)</w:t>
            </w:r>
          </w:p>
          <w:p w14:paraId="6BBB6DDD" w14:textId="77777777" w:rsidR="00CF7F90" w:rsidRDefault="00CF7F90" w:rsidP="00706C3C"/>
          <w:p w14:paraId="10729852" w14:textId="77777777" w:rsidR="00CF7F90" w:rsidRDefault="00CF7F90" w:rsidP="00706C3C"/>
          <w:p w14:paraId="174A3DF6" w14:textId="77777777" w:rsidR="00CF7F90" w:rsidRDefault="00CF7F90" w:rsidP="00706C3C"/>
          <w:p w14:paraId="1637B460" w14:textId="77777777" w:rsidR="00CF7F90" w:rsidRDefault="00CF7F90" w:rsidP="00706C3C"/>
          <w:p w14:paraId="720F8E94" w14:textId="77777777" w:rsidR="00CF7F90" w:rsidRDefault="00CF7F90" w:rsidP="00706C3C"/>
          <w:p w14:paraId="59DDBD73" w14:textId="77777777" w:rsidR="00CF7F90" w:rsidRDefault="00CF7F90" w:rsidP="00706C3C"/>
          <w:p w14:paraId="2AB9BE05" w14:textId="77777777" w:rsidR="00CF7F90" w:rsidRDefault="00CF7F90" w:rsidP="00706C3C"/>
          <w:p w14:paraId="32BB861B" w14:textId="77777777" w:rsidR="00CF7F90" w:rsidRDefault="00CF7F90" w:rsidP="00706C3C"/>
          <w:p w14:paraId="5F148DCD" w14:textId="77777777" w:rsidR="00CF7F90" w:rsidRDefault="00CF7F90" w:rsidP="00706C3C"/>
          <w:p w14:paraId="3290E311" w14:textId="77777777" w:rsidR="00CF7F90" w:rsidRDefault="00CF7F90" w:rsidP="00706C3C"/>
          <w:p w14:paraId="7B63C4BC" w14:textId="77777777" w:rsidR="00CF7F90" w:rsidRDefault="00CF7F90" w:rsidP="00706C3C"/>
          <w:p w14:paraId="3D7F5E07" w14:textId="77777777" w:rsidR="00CF7F90" w:rsidRDefault="00CF7F90" w:rsidP="00706C3C"/>
          <w:p w14:paraId="5A470497" w14:textId="77777777" w:rsidR="00CF7F90" w:rsidRDefault="00CF7F90" w:rsidP="00706C3C"/>
          <w:p w14:paraId="7187EAB8" w14:textId="77777777" w:rsidR="00CF7F90" w:rsidRDefault="00CF7F90" w:rsidP="00706C3C"/>
        </w:tc>
        <w:tc>
          <w:tcPr>
            <w:tcW w:w="5988" w:type="dxa"/>
          </w:tcPr>
          <w:p w14:paraId="178914B4" w14:textId="4069FFEA" w:rsidR="00706C3C" w:rsidRPr="00E613AE" w:rsidRDefault="00C1361B" w:rsidP="00332050">
            <w:pPr>
              <w:rPr>
                <w:rFonts w:cstheme="minorHAnsi"/>
              </w:rPr>
            </w:pPr>
            <w:hyperlink r:id="rId9" w:history="1">
              <w:r w:rsidR="00356EFE" w:rsidRPr="00E613AE">
                <w:rPr>
                  <w:rStyle w:val="Hyperlink"/>
                  <w:rFonts w:cstheme="minorHAnsi"/>
                </w:rPr>
                <w:t>The Digital Health and Wellness Research Group</w:t>
              </w:r>
            </w:hyperlink>
            <w:r w:rsidR="00356EFE" w:rsidRPr="00E613AE">
              <w:rPr>
                <w:rFonts w:cstheme="minorHAnsi"/>
              </w:rPr>
              <w:t xml:space="preserve"> has a strong ethos of collaboration with other departments including </w:t>
            </w:r>
            <w:r w:rsidR="009B259F" w:rsidRPr="00E613AE">
              <w:rPr>
                <w:rFonts w:cstheme="minorHAnsi"/>
              </w:rPr>
              <w:t xml:space="preserve">the </w:t>
            </w:r>
            <w:hyperlink r:id="rId10" w:history="1">
              <w:r w:rsidR="00356EFE" w:rsidRPr="00E613AE">
                <w:rPr>
                  <w:rStyle w:val="Hyperlink"/>
                  <w:rFonts w:cstheme="minorHAnsi"/>
                </w:rPr>
                <w:t>Strathclyde Institute of Pharmacy and Biomedical Sciences</w:t>
              </w:r>
            </w:hyperlink>
            <w:r w:rsidR="00356EFE" w:rsidRPr="00E613AE">
              <w:rPr>
                <w:rFonts w:cstheme="minorHAnsi"/>
              </w:rPr>
              <w:t xml:space="preserve"> and </w:t>
            </w:r>
            <w:r w:rsidR="00356EFE" w:rsidRPr="00E613AE">
              <w:rPr>
                <w:rFonts w:cstheme="minorHAnsi"/>
              </w:rPr>
              <w:lastRenderedPageBreak/>
              <w:t xml:space="preserve">the </w:t>
            </w:r>
            <w:hyperlink r:id="rId11" w:history="1">
              <w:r w:rsidR="00356EFE" w:rsidRPr="00E613AE">
                <w:rPr>
                  <w:rStyle w:val="Hyperlink"/>
                  <w:rFonts w:cstheme="minorHAnsi"/>
                </w:rPr>
                <w:t>Health &amp; Care Futures</w:t>
              </w:r>
            </w:hyperlink>
            <w:r w:rsidR="00356EFE" w:rsidRPr="00E613AE">
              <w:rPr>
                <w:rFonts w:cstheme="minorHAnsi"/>
              </w:rPr>
              <w:t xml:space="preserve"> initiative. </w:t>
            </w:r>
            <w:r w:rsidR="006A7D0A" w:rsidRPr="00E613AE">
              <w:rPr>
                <w:rFonts w:cstheme="minorHAnsi"/>
              </w:rPr>
              <w:t>There is opportunity for applicants to meet and engage with research</w:t>
            </w:r>
            <w:r w:rsidR="00CA6D3D" w:rsidRPr="00E613AE">
              <w:rPr>
                <w:rFonts w:cstheme="minorHAnsi"/>
              </w:rPr>
              <w:t>ers</w:t>
            </w:r>
            <w:r w:rsidR="006A7D0A" w:rsidRPr="00E613AE">
              <w:rPr>
                <w:rFonts w:cstheme="minorHAnsi"/>
              </w:rPr>
              <w:t xml:space="preserve"> across the University of Strathclyde</w:t>
            </w:r>
            <w:r w:rsidR="00332050">
              <w:rPr>
                <w:rFonts w:cstheme="minorHAnsi"/>
              </w:rPr>
              <w:t xml:space="preserve">. </w:t>
            </w:r>
            <w:r w:rsidR="006A7D0A" w:rsidRPr="00E613AE">
              <w:rPr>
                <w:rFonts w:cstheme="minorHAnsi"/>
              </w:rPr>
              <w:t xml:space="preserve">Opportunities include: </w:t>
            </w:r>
          </w:p>
          <w:p w14:paraId="141D4EDD" w14:textId="4C2BC403" w:rsidR="006A7D0A" w:rsidRPr="00E613AE" w:rsidRDefault="006A7D0A" w:rsidP="006A7D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E613AE">
              <w:rPr>
                <w:rFonts w:cstheme="minorHAnsi"/>
              </w:rPr>
              <w:t>Meet with PhD students and established researchers to better understand the academic career</w:t>
            </w:r>
            <w:r w:rsidR="009B259F" w:rsidRPr="00E613AE">
              <w:rPr>
                <w:rFonts w:cstheme="minorHAnsi"/>
              </w:rPr>
              <w:t xml:space="preserve"> pathway</w:t>
            </w:r>
          </w:p>
          <w:p w14:paraId="74E33EA5" w14:textId="77777777" w:rsidR="006A7D0A" w:rsidRPr="00E613AE" w:rsidRDefault="006A7D0A" w:rsidP="006A7D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E613AE">
              <w:rPr>
                <w:rFonts w:cstheme="minorHAnsi"/>
              </w:rPr>
              <w:t>Attend Research Seminars hosted by the PhD students and academics</w:t>
            </w:r>
          </w:p>
          <w:p w14:paraId="27A08277" w14:textId="7F436C2B" w:rsidR="009B259F" w:rsidRPr="00E613AE" w:rsidRDefault="006A7D0A" w:rsidP="006A7D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E613AE">
              <w:rPr>
                <w:rFonts w:cstheme="minorHAnsi"/>
              </w:rPr>
              <w:t xml:space="preserve">Act as an advisor to review documentation </w:t>
            </w:r>
          </w:p>
          <w:p w14:paraId="68D323D5" w14:textId="1FB856AF" w:rsidR="009B259F" w:rsidRPr="00E613AE" w:rsidRDefault="006A7D0A" w:rsidP="009B25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E613AE">
              <w:rPr>
                <w:rFonts w:cstheme="minorHAnsi"/>
              </w:rPr>
              <w:t xml:space="preserve">Support the literature search process </w:t>
            </w:r>
            <w:r w:rsidR="00C007B4" w:rsidRPr="00E613AE">
              <w:rPr>
                <w:rFonts w:cstheme="minorHAnsi"/>
              </w:rPr>
              <w:t>by</w:t>
            </w:r>
            <w:r w:rsidRPr="00E613AE">
              <w:rPr>
                <w:rFonts w:cstheme="minorHAnsi"/>
              </w:rPr>
              <w:t xml:space="preserve"> identify</w:t>
            </w:r>
            <w:r w:rsidR="00C007B4" w:rsidRPr="00E613AE">
              <w:rPr>
                <w:rFonts w:cstheme="minorHAnsi"/>
              </w:rPr>
              <w:t>ing</w:t>
            </w:r>
            <w:r w:rsidRPr="00E613AE">
              <w:rPr>
                <w:rFonts w:cstheme="minorHAnsi"/>
              </w:rPr>
              <w:t xml:space="preserve"> newly published research of relevance to the research project</w:t>
            </w:r>
            <w:r w:rsidR="00C007B4" w:rsidRPr="00E613AE">
              <w:rPr>
                <w:rFonts w:cstheme="minorHAnsi"/>
              </w:rPr>
              <w:t xml:space="preserve"> and/or </w:t>
            </w:r>
            <w:r w:rsidRPr="00E613AE">
              <w:rPr>
                <w:rFonts w:cstheme="minorHAnsi"/>
              </w:rPr>
              <w:t>support</w:t>
            </w:r>
            <w:r w:rsidR="00C007B4" w:rsidRPr="00E613AE">
              <w:rPr>
                <w:rFonts w:cstheme="minorHAnsi"/>
              </w:rPr>
              <w:t>ing</w:t>
            </w:r>
            <w:r w:rsidRPr="00E613AE">
              <w:rPr>
                <w:rFonts w:cstheme="minorHAnsi"/>
              </w:rPr>
              <w:t xml:space="preserve"> study selection and data extraction</w:t>
            </w:r>
          </w:p>
          <w:p w14:paraId="2CC50C25" w14:textId="02413D2A" w:rsidR="009B259F" w:rsidRPr="00E613AE" w:rsidRDefault="009B259F" w:rsidP="006A7D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E613AE">
              <w:rPr>
                <w:rFonts w:cstheme="minorHAnsi"/>
              </w:rPr>
              <w:t>Support data generation activities (e.g. recruitment, data collection, analysis, report writing)</w:t>
            </w:r>
          </w:p>
          <w:p w14:paraId="1197F9E0" w14:textId="1462345D" w:rsidR="00C007B4" w:rsidRPr="00E613AE" w:rsidRDefault="006A7D0A" w:rsidP="00C007B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E613AE">
              <w:rPr>
                <w:rFonts w:cstheme="minorHAnsi"/>
              </w:rPr>
              <w:t>Participat</w:t>
            </w:r>
            <w:r w:rsidR="00E613AE" w:rsidRPr="00E613AE">
              <w:rPr>
                <w:rFonts w:cstheme="minorHAnsi"/>
              </w:rPr>
              <w:t>ion</w:t>
            </w:r>
            <w:r w:rsidRPr="00E613AE">
              <w:rPr>
                <w:rFonts w:cstheme="minorHAnsi"/>
              </w:rPr>
              <w:t xml:space="preserve"> in networking activities (e.g. attend local conference</w:t>
            </w:r>
          </w:p>
          <w:p w14:paraId="71DB720C" w14:textId="680F6D6D" w:rsidR="006A7D0A" w:rsidRPr="00E613AE" w:rsidRDefault="00C007B4" w:rsidP="00C007B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E613AE">
              <w:rPr>
                <w:rFonts w:cstheme="minorHAnsi"/>
              </w:rPr>
              <w:t xml:space="preserve">Attend </w:t>
            </w:r>
            <w:r w:rsidR="006A7D0A" w:rsidRPr="00E613AE">
              <w:rPr>
                <w:rFonts w:cstheme="minorHAnsi"/>
              </w:rPr>
              <w:t>formal/information Research Group meetings)</w:t>
            </w:r>
          </w:p>
          <w:p w14:paraId="34A61E18" w14:textId="77777777" w:rsidR="00356EFE" w:rsidRPr="00E613AE" w:rsidRDefault="006A7D0A" w:rsidP="00706C3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E613AE">
              <w:rPr>
                <w:rFonts w:cstheme="minorHAnsi"/>
              </w:rPr>
              <w:t>Support research dissemination activities (e.g. develop a poster / abstract from research findings)</w:t>
            </w:r>
          </w:p>
          <w:p w14:paraId="06449B32" w14:textId="117E7F49" w:rsidR="00C007B4" w:rsidRPr="00E613AE" w:rsidRDefault="00C007B4" w:rsidP="00706C3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E613AE">
              <w:rPr>
                <w:rFonts w:cstheme="minorHAnsi"/>
              </w:rPr>
              <w:t>Integrat</w:t>
            </w:r>
            <w:r w:rsidR="00E613AE" w:rsidRPr="00E613AE">
              <w:rPr>
                <w:rFonts w:cstheme="minorHAnsi"/>
              </w:rPr>
              <w:t>ion</w:t>
            </w:r>
            <w:r w:rsidRPr="00E613AE">
              <w:rPr>
                <w:rFonts w:cstheme="minorHAnsi"/>
              </w:rPr>
              <w:t xml:space="preserve"> with a team actively writing a paper to understand the publication process</w:t>
            </w:r>
          </w:p>
        </w:tc>
      </w:tr>
      <w:tr w:rsidR="00CF7F90" w14:paraId="19D906F7" w14:textId="77777777" w:rsidTr="003C056C">
        <w:tc>
          <w:tcPr>
            <w:tcW w:w="3505" w:type="dxa"/>
          </w:tcPr>
          <w:p w14:paraId="263C3A34" w14:textId="77777777" w:rsidR="00CF7F90" w:rsidRDefault="00F26BD2" w:rsidP="00706C3C">
            <w:r>
              <w:lastRenderedPageBreak/>
              <w:t xml:space="preserve">Any other considerations for potential candidates? </w:t>
            </w:r>
          </w:p>
          <w:p w14:paraId="6F919F59" w14:textId="77777777" w:rsidR="00CF7F90" w:rsidRDefault="00CF7F90" w:rsidP="00706C3C"/>
        </w:tc>
        <w:tc>
          <w:tcPr>
            <w:tcW w:w="5988" w:type="dxa"/>
          </w:tcPr>
          <w:p w14:paraId="6BFFB837" w14:textId="1CADF262" w:rsidR="00CF7F90" w:rsidRPr="00E613AE" w:rsidRDefault="006A7D0A" w:rsidP="00706C3C">
            <w:pPr>
              <w:rPr>
                <w:rFonts w:cstheme="minorHAnsi"/>
              </w:rPr>
            </w:pPr>
            <w:r w:rsidRPr="00E613AE">
              <w:rPr>
                <w:rFonts w:cstheme="minorHAnsi"/>
              </w:rPr>
              <w:t xml:space="preserve">The Digital Health and Wellness Group welcomes PhD applications from </w:t>
            </w:r>
            <w:r w:rsidR="00E613AE" w:rsidRPr="00E613AE">
              <w:rPr>
                <w:rFonts w:cstheme="minorHAnsi"/>
              </w:rPr>
              <w:t>Allied Health professionals</w:t>
            </w:r>
            <w:r w:rsidRPr="00E613AE">
              <w:rPr>
                <w:rFonts w:cstheme="minorHAnsi"/>
              </w:rPr>
              <w:t>. There is scope for a successful applicant to use this opportunity to identify potential PhD supervisors and begin discussions on a PhD topic.</w:t>
            </w:r>
          </w:p>
          <w:p w14:paraId="76880770" w14:textId="77777777" w:rsidR="000E29B8" w:rsidRPr="00E613AE" w:rsidRDefault="000E29B8" w:rsidP="00706C3C">
            <w:pPr>
              <w:rPr>
                <w:rFonts w:cstheme="minorHAnsi"/>
              </w:rPr>
            </w:pPr>
          </w:p>
          <w:p w14:paraId="5731F744" w14:textId="58384EF3" w:rsidR="000E29B8" w:rsidRPr="00E613AE" w:rsidRDefault="000E29B8" w:rsidP="00706C3C">
            <w:pPr>
              <w:rPr>
                <w:rFonts w:cstheme="minorHAnsi"/>
              </w:rPr>
            </w:pPr>
            <w:r w:rsidRPr="00E613AE">
              <w:rPr>
                <w:rFonts w:cstheme="minorHAnsi"/>
              </w:rPr>
              <w:t xml:space="preserve">There are Training Modules the applicant could choose to spend their allocated personal development funds, including the following training modules: </w:t>
            </w:r>
          </w:p>
          <w:p w14:paraId="6FCE5E84" w14:textId="77777777" w:rsidR="000E29B8" w:rsidRPr="00E613AE" w:rsidRDefault="000E29B8" w:rsidP="000E29B8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</w:rPr>
            </w:pPr>
            <w:r w:rsidRPr="00E613AE">
              <w:rPr>
                <w:rFonts w:eastAsia="Times New Roman" w:cstheme="minorHAnsi"/>
                <w:color w:val="000000"/>
              </w:rPr>
              <w:t>Healthy Ageing - 10 credits</w:t>
            </w:r>
          </w:p>
          <w:p w14:paraId="5B0CE4A3" w14:textId="77777777" w:rsidR="000E29B8" w:rsidRPr="00E613AE" w:rsidRDefault="000E29B8" w:rsidP="000E29B8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</w:rPr>
            </w:pPr>
            <w:r w:rsidRPr="00E613AE">
              <w:rPr>
                <w:rFonts w:eastAsia="Times New Roman" w:cstheme="minorHAnsi"/>
                <w:color w:val="000000"/>
              </w:rPr>
              <w:t>Health Information Governance - 10 credits</w:t>
            </w:r>
          </w:p>
          <w:p w14:paraId="014D0EC4" w14:textId="75E51F1D" w:rsidR="000E29B8" w:rsidRPr="00E613AE" w:rsidRDefault="000E29B8" w:rsidP="00706C3C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</w:rPr>
            </w:pPr>
            <w:r w:rsidRPr="00E613AE">
              <w:rPr>
                <w:rFonts w:eastAsia="Times New Roman" w:cstheme="minorHAnsi"/>
                <w:color w:val="000000"/>
              </w:rPr>
              <w:t>Data analytics for health and social care professionals - 5 credits</w:t>
            </w:r>
          </w:p>
          <w:p w14:paraId="409B1DF5" w14:textId="55BD2CD8" w:rsidR="000E29B8" w:rsidRPr="00E613AE" w:rsidRDefault="000E29B8" w:rsidP="00706C3C">
            <w:pPr>
              <w:rPr>
                <w:rFonts w:cstheme="minorHAnsi"/>
              </w:rPr>
            </w:pPr>
            <w:r w:rsidRPr="00E613AE">
              <w:rPr>
                <w:rFonts w:cstheme="minorHAnsi"/>
              </w:rPr>
              <w:t xml:space="preserve">Engagement with modules could be the start to further study </w:t>
            </w:r>
            <w:r w:rsidR="00332050">
              <w:rPr>
                <w:rFonts w:cstheme="minorHAnsi"/>
              </w:rPr>
              <w:t>towards</w:t>
            </w:r>
            <w:r w:rsidRPr="00E613AE">
              <w:rPr>
                <w:rFonts w:cstheme="minorHAnsi"/>
              </w:rPr>
              <w:t xml:space="preserve"> being awarded a PGCert or PGDip. </w:t>
            </w:r>
          </w:p>
        </w:tc>
      </w:tr>
      <w:tr w:rsidR="00CF7F90" w14:paraId="74A44F0D" w14:textId="77777777" w:rsidTr="003C056C">
        <w:tc>
          <w:tcPr>
            <w:tcW w:w="3505" w:type="dxa"/>
          </w:tcPr>
          <w:p w14:paraId="35ECE5BB" w14:textId="77777777" w:rsidR="00CF7F90" w:rsidRDefault="00CF7F90" w:rsidP="00706C3C">
            <w:r>
              <w:t>Dates available</w:t>
            </w:r>
          </w:p>
          <w:p w14:paraId="5C361305" w14:textId="77777777" w:rsidR="00CF7F90" w:rsidRDefault="00CF7F90" w:rsidP="00706C3C"/>
        </w:tc>
        <w:tc>
          <w:tcPr>
            <w:tcW w:w="5988" w:type="dxa"/>
          </w:tcPr>
          <w:p w14:paraId="634A3320" w14:textId="556E3210" w:rsidR="00C007B4" w:rsidRPr="00E613AE" w:rsidRDefault="00C007B4" w:rsidP="00706C3C">
            <w:pPr>
              <w:rPr>
                <w:rFonts w:cstheme="minorHAnsi"/>
              </w:rPr>
            </w:pPr>
            <w:r w:rsidRPr="00E613AE">
              <w:rPr>
                <w:rFonts w:cstheme="minorHAnsi"/>
              </w:rPr>
              <w:t>Sept 202</w:t>
            </w:r>
            <w:r w:rsidR="00332050">
              <w:rPr>
                <w:rFonts w:cstheme="minorHAnsi"/>
              </w:rPr>
              <w:t>3</w:t>
            </w:r>
            <w:r w:rsidRPr="00E613AE">
              <w:rPr>
                <w:rFonts w:cstheme="minorHAnsi"/>
              </w:rPr>
              <w:t xml:space="preserve"> onwards</w:t>
            </w:r>
          </w:p>
          <w:p w14:paraId="046D4F76" w14:textId="4B17FABE" w:rsidR="00CF7F90" w:rsidRPr="00E613AE" w:rsidRDefault="00C007B4" w:rsidP="00706C3C">
            <w:pPr>
              <w:rPr>
                <w:rFonts w:cstheme="minorHAnsi"/>
              </w:rPr>
            </w:pPr>
            <w:r w:rsidRPr="00E613AE">
              <w:rPr>
                <w:rFonts w:cstheme="minorHAnsi"/>
              </w:rPr>
              <w:t>Dates can be flexible depending on applicant’s preference</w:t>
            </w:r>
          </w:p>
          <w:p w14:paraId="218489B9" w14:textId="5BDD075A" w:rsidR="00C007B4" w:rsidRPr="00E613AE" w:rsidRDefault="00C007B4" w:rsidP="00706C3C">
            <w:pPr>
              <w:rPr>
                <w:rFonts w:cstheme="minorHAnsi"/>
              </w:rPr>
            </w:pPr>
            <w:r w:rsidRPr="00E613AE">
              <w:rPr>
                <w:rFonts w:cstheme="minorHAnsi"/>
              </w:rPr>
              <w:t>Digital Health and Wellness group seminars run Mondays at 12noon; the seminar programme can be disseminated in advance for the applicant to identify those of most interest</w:t>
            </w:r>
          </w:p>
        </w:tc>
      </w:tr>
      <w:tr w:rsidR="00CF7F90" w14:paraId="6294E425" w14:textId="77777777" w:rsidTr="003C056C">
        <w:tc>
          <w:tcPr>
            <w:tcW w:w="3505" w:type="dxa"/>
          </w:tcPr>
          <w:p w14:paraId="5E79A58C" w14:textId="77777777" w:rsidR="00CF7F90" w:rsidRDefault="00CF7F90" w:rsidP="00706C3C">
            <w:r>
              <w:t>Mentor(s)</w:t>
            </w:r>
          </w:p>
          <w:p w14:paraId="7BD0E790" w14:textId="77777777" w:rsidR="00CF7F90" w:rsidRDefault="00CF7F90" w:rsidP="00706C3C"/>
        </w:tc>
        <w:tc>
          <w:tcPr>
            <w:tcW w:w="5988" w:type="dxa"/>
          </w:tcPr>
          <w:p w14:paraId="29A05576" w14:textId="35B329CF" w:rsidR="000E29B8" w:rsidRPr="00E613AE" w:rsidRDefault="000E29B8" w:rsidP="000E29B8">
            <w:pPr>
              <w:rPr>
                <w:rFonts w:eastAsia="Times New Roman" w:cstheme="minorHAnsi"/>
                <w:color w:val="000000"/>
              </w:rPr>
            </w:pPr>
            <w:r w:rsidRPr="00E613AE">
              <w:rPr>
                <w:rFonts w:eastAsia="Times New Roman" w:cstheme="minorHAnsi"/>
                <w:color w:val="000000"/>
              </w:rPr>
              <w:t>Prof Roma Maguire</w:t>
            </w:r>
          </w:p>
          <w:p w14:paraId="06FB522F" w14:textId="439F51DA" w:rsidR="000E29B8" w:rsidRPr="00E613AE" w:rsidRDefault="00D335FE" w:rsidP="000E29B8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Prof</w:t>
            </w:r>
            <w:r w:rsidR="000E29B8" w:rsidRPr="00E613AE">
              <w:rPr>
                <w:rFonts w:eastAsia="Times New Roman" w:cstheme="minorHAnsi"/>
                <w:color w:val="000000"/>
              </w:rPr>
              <w:t xml:space="preserve"> Marilyn Lennon</w:t>
            </w:r>
          </w:p>
          <w:p w14:paraId="728C7F08" w14:textId="77777777" w:rsidR="000E29B8" w:rsidRPr="00E613AE" w:rsidRDefault="000E29B8" w:rsidP="000E29B8">
            <w:pPr>
              <w:rPr>
                <w:rFonts w:eastAsia="Times New Roman" w:cstheme="minorHAnsi"/>
                <w:color w:val="000000"/>
              </w:rPr>
            </w:pPr>
            <w:r w:rsidRPr="00E613AE">
              <w:rPr>
                <w:rFonts w:eastAsia="Times New Roman" w:cstheme="minorHAnsi"/>
                <w:color w:val="000000"/>
              </w:rPr>
              <w:t>Dr Lisa McCann</w:t>
            </w:r>
          </w:p>
          <w:p w14:paraId="12F24B52" w14:textId="77777777" w:rsidR="000E29B8" w:rsidRPr="00E613AE" w:rsidRDefault="000E29B8" w:rsidP="000E29B8">
            <w:pPr>
              <w:rPr>
                <w:rFonts w:eastAsia="Times New Roman" w:cstheme="minorHAnsi"/>
                <w:color w:val="000000"/>
              </w:rPr>
            </w:pPr>
            <w:r w:rsidRPr="00E613AE">
              <w:rPr>
                <w:rFonts w:eastAsia="Times New Roman" w:cstheme="minorHAnsi"/>
                <w:color w:val="000000"/>
              </w:rPr>
              <w:t>Dr Kieren Egan</w:t>
            </w:r>
          </w:p>
          <w:p w14:paraId="7440548A" w14:textId="77777777" w:rsidR="000E29B8" w:rsidRPr="00E613AE" w:rsidRDefault="000E29B8" w:rsidP="000E29B8">
            <w:pPr>
              <w:rPr>
                <w:rFonts w:eastAsia="Times New Roman" w:cstheme="minorHAnsi"/>
                <w:color w:val="000000"/>
              </w:rPr>
            </w:pPr>
            <w:r w:rsidRPr="00E613AE">
              <w:rPr>
                <w:rFonts w:eastAsia="Times New Roman" w:cstheme="minorHAnsi"/>
                <w:color w:val="000000"/>
              </w:rPr>
              <w:t>Dr Alison Kirk</w:t>
            </w:r>
          </w:p>
          <w:p w14:paraId="18507B3F" w14:textId="2D938235" w:rsidR="00CF7F90" w:rsidRPr="00E613AE" w:rsidRDefault="000E29B8" w:rsidP="00706C3C">
            <w:pPr>
              <w:rPr>
                <w:rFonts w:cstheme="minorHAnsi"/>
              </w:rPr>
            </w:pPr>
            <w:r w:rsidRPr="00E613AE">
              <w:rPr>
                <w:rFonts w:cstheme="minorHAnsi"/>
              </w:rPr>
              <w:t>The specific mentor will be decided upon depending on applicant’s identified support needs</w:t>
            </w:r>
          </w:p>
        </w:tc>
      </w:tr>
    </w:tbl>
    <w:p w14:paraId="05014B7E" w14:textId="77777777" w:rsidR="00706C3C" w:rsidRPr="00706C3C" w:rsidRDefault="00706C3C" w:rsidP="00706C3C"/>
    <w:p w14:paraId="1DB9D168" w14:textId="4A697F4A" w:rsidR="0091462F" w:rsidRDefault="0091462F"/>
    <w:sectPr w:rsidR="0091462F" w:rsidSect="00706C3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83F98"/>
    <w:multiLevelType w:val="hybridMultilevel"/>
    <w:tmpl w:val="F1D28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B7A12"/>
    <w:multiLevelType w:val="hybridMultilevel"/>
    <w:tmpl w:val="EE56F972"/>
    <w:lvl w:ilvl="0" w:tplc="B06CA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97F3A"/>
    <w:multiLevelType w:val="hybridMultilevel"/>
    <w:tmpl w:val="DEAE6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145ABA"/>
    <w:multiLevelType w:val="hybridMultilevel"/>
    <w:tmpl w:val="DDA6C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A2B3F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66A8B"/>
    <w:multiLevelType w:val="hybridMultilevel"/>
    <w:tmpl w:val="484279B0"/>
    <w:lvl w:ilvl="0" w:tplc="B06CA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403246">
    <w:abstractNumId w:val="1"/>
  </w:num>
  <w:num w:numId="2" w16cid:durableId="1569421979">
    <w:abstractNumId w:val="4"/>
  </w:num>
  <w:num w:numId="3" w16cid:durableId="89477309">
    <w:abstractNumId w:val="2"/>
  </w:num>
  <w:num w:numId="4" w16cid:durableId="64840265">
    <w:abstractNumId w:val="0"/>
  </w:num>
  <w:num w:numId="5" w16cid:durableId="1314019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3C"/>
    <w:rsid w:val="000E29B8"/>
    <w:rsid w:val="00291DCA"/>
    <w:rsid w:val="00332050"/>
    <w:rsid w:val="003531F6"/>
    <w:rsid w:val="00356EFE"/>
    <w:rsid w:val="003815A8"/>
    <w:rsid w:val="003C056C"/>
    <w:rsid w:val="00422608"/>
    <w:rsid w:val="00423FD7"/>
    <w:rsid w:val="006A7D0A"/>
    <w:rsid w:val="00706C3C"/>
    <w:rsid w:val="00852EFE"/>
    <w:rsid w:val="0091462F"/>
    <w:rsid w:val="009B259F"/>
    <w:rsid w:val="00C007B4"/>
    <w:rsid w:val="00C1361B"/>
    <w:rsid w:val="00CA6D3D"/>
    <w:rsid w:val="00CF7F90"/>
    <w:rsid w:val="00D335FE"/>
    <w:rsid w:val="00E613AE"/>
    <w:rsid w:val="00F2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33ECC"/>
  <w15:chartTrackingRefBased/>
  <w15:docId w15:val="{74878A56-5605-42DF-911D-991CBE86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6C3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002060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C3C"/>
    <w:rPr>
      <w:rFonts w:asciiTheme="majorHAnsi" w:eastAsiaTheme="majorEastAsia" w:hAnsiTheme="majorHAnsi" w:cstheme="majorBidi"/>
      <w:b/>
      <w:color w:val="002060"/>
      <w:sz w:val="44"/>
      <w:szCs w:val="32"/>
    </w:rPr>
  </w:style>
  <w:style w:type="table" w:styleId="TableGrid">
    <w:name w:val="Table Grid"/>
    <w:basedOn w:val="TableNormal"/>
    <w:uiPriority w:val="39"/>
    <w:rsid w:val="0070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056C"/>
    <w:rPr>
      <w:color w:val="0563C1" w:themeColor="hyperlink"/>
      <w:u w:val="single"/>
    </w:rPr>
  </w:style>
  <w:style w:type="paragraph" w:styleId="ListParagraph">
    <w:name w:val="List Paragraph"/>
    <w:aliases w:val="1st level - Bullet List Paragraph,3 Txt tabla,Bullet list,Lettre d'introduction,List Number_CW,Lista de nivel 1,Lista viñetas,Listenabsatz_Zahlen_CW,Llista Nivell1,Normal bullet 2,Paragrafo elenco,Task Body,Viñetas (Inicio Parrafo),lp1"/>
    <w:basedOn w:val="Normal"/>
    <w:link w:val="ListParagraphChar"/>
    <w:uiPriority w:val="34"/>
    <w:qFormat/>
    <w:rsid w:val="00291DC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56EFE"/>
    <w:rPr>
      <w:color w:val="605E5C"/>
      <w:shd w:val="clear" w:color="auto" w:fill="E1DFDD"/>
    </w:rPr>
  </w:style>
  <w:style w:type="character" w:customStyle="1" w:styleId="ListParagraphChar">
    <w:name w:val="List Paragraph Char"/>
    <w:aliases w:val="1st level - Bullet List Paragraph Char,3 Txt tabla Char,Bullet list Char,Lettre d'introduction Char,List Number_CW Char,Lista de nivel 1 Char,Lista viñetas Char,Listenabsatz_Zahlen_CW Char,Llista Nivell1 Char,Normal bullet 2 Char"/>
    <w:link w:val="ListParagraph"/>
    <w:uiPriority w:val="34"/>
    <w:qFormat/>
    <w:locked/>
    <w:rsid w:val="00852EFE"/>
  </w:style>
  <w:style w:type="character" w:customStyle="1" w:styleId="eop">
    <w:name w:val="eop"/>
    <w:basedOn w:val="DefaultParagraphFont"/>
    <w:rsid w:val="00852EFE"/>
  </w:style>
  <w:style w:type="paragraph" w:styleId="Revision">
    <w:name w:val="Revision"/>
    <w:hidden/>
    <w:uiPriority w:val="99"/>
    <w:semiHidden/>
    <w:rsid w:val="003320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rath.ac.uk/workwithus/healthcarefuture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trath.ac.uk/science/strathclydeinstituteofpharmacybiomedicalscience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trath.ac.uk/research/digitalhealthwellnessresearchgro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AA4E0AC1BF74DB16ECF01814E872F" ma:contentTypeVersion="4" ma:contentTypeDescription="Create a new document." ma:contentTypeScope="" ma:versionID="06fa97ab25a57a323dbfe2ed18fccf47">
  <xsd:schema xmlns:xsd="http://www.w3.org/2001/XMLSchema" xmlns:xs="http://www.w3.org/2001/XMLSchema" xmlns:p="http://schemas.microsoft.com/office/2006/metadata/properties" xmlns:ns2="db5bfb99-9b1c-4e76-8d4b-2eb4f9b59249" targetNamespace="http://schemas.microsoft.com/office/2006/metadata/properties" ma:root="true" ma:fieldsID="6ddbe4cbd8b17dc91fdfd1d801425ca5" ns2:_="">
    <xsd:import namespace="db5bfb99-9b1c-4e76-8d4b-2eb4f9b59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bfb99-9b1c-4e76-8d4b-2eb4f9b59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2D3E66-B6F7-4B3D-94BC-E48DE4BC36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9BC9E3-E396-47D2-A6FD-B13CBE703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bfb99-9b1c-4e76-8d4b-2eb4f9b59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DC66C5-9E4E-4A3F-8DF8-A3B4E81718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MacArthur, Juliet</dc:creator>
  <cp:keywords/>
  <dc:description/>
  <cp:lastModifiedBy>Natalie Weir</cp:lastModifiedBy>
  <cp:revision>2</cp:revision>
  <dcterms:created xsi:type="dcterms:W3CDTF">2023-12-06T15:22:00Z</dcterms:created>
  <dcterms:modified xsi:type="dcterms:W3CDTF">2023-12-06T15:22:00Z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0x0101000C9AA4E0AC1BF74DB16ECF01814E872F</vt:lpwstr>
  </property>
</Properties>
</file>