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8351E" w14:textId="77777777" w:rsidR="00FE65DE" w:rsidRPr="00861310" w:rsidRDefault="00FE65DE" w:rsidP="00FE65DE">
      <w:pPr>
        <w:autoSpaceDE w:val="0"/>
        <w:autoSpaceDN w:val="0"/>
        <w:adjustRightInd w:val="0"/>
        <w:spacing w:after="120"/>
        <w:rPr>
          <w:rFonts w:ascii="Arial" w:hAnsi="Arial" w:cs="Arial"/>
          <w:b/>
          <w:noProof/>
          <w:color w:val="000000"/>
          <w:sz w:val="28"/>
          <w:lang w:eastAsia="en-GB"/>
        </w:rPr>
      </w:pPr>
      <w:r w:rsidRPr="00861310">
        <w:rPr>
          <w:rFonts w:ascii="Arial" w:hAnsi="Arial" w:cs="Arial"/>
          <w:b/>
          <w:bCs/>
          <w:noProof/>
          <w:sz w:val="22"/>
          <w:szCs w:val="20"/>
          <w:lang w:eastAsia="en-GB"/>
        </w:rPr>
        <w:drawing>
          <wp:anchor distT="0" distB="0" distL="114300" distR="114300" simplePos="0" relativeHeight="251661312" behindDoc="0" locked="0" layoutInCell="1" allowOverlap="1" wp14:anchorId="71D27AD7" wp14:editId="32BF8810">
            <wp:simplePos x="0" y="0"/>
            <wp:positionH relativeFrom="column">
              <wp:posOffset>5318760</wp:posOffset>
            </wp:positionH>
            <wp:positionV relativeFrom="paragraph">
              <wp:posOffset>-197485</wp:posOffset>
            </wp:positionV>
            <wp:extent cx="952500" cy="942975"/>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952500" cy="942975"/>
                    </a:xfrm>
                    <a:prstGeom prst="rect">
                      <a:avLst/>
                    </a:prstGeom>
                    <a:noFill/>
                    <a:ln w="9525">
                      <a:noFill/>
                      <a:miter lim="800000"/>
                      <a:headEnd/>
                      <a:tailEnd/>
                    </a:ln>
                  </pic:spPr>
                </pic:pic>
              </a:graphicData>
            </a:graphic>
          </wp:anchor>
        </w:drawing>
      </w:r>
      <w:r w:rsidRPr="00861310">
        <w:rPr>
          <w:rFonts w:ascii="Arial" w:hAnsi="Arial" w:cs="Arial"/>
          <w:b/>
          <w:noProof/>
          <w:color w:val="000000"/>
          <w:sz w:val="28"/>
          <w:lang w:eastAsia="en-GB"/>
        </w:rPr>
        <w:drawing>
          <wp:anchor distT="0" distB="0" distL="114300" distR="114300" simplePos="0" relativeHeight="251660288" behindDoc="0" locked="0" layoutInCell="1" allowOverlap="1" wp14:anchorId="78D38E53" wp14:editId="6707EF0D">
            <wp:simplePos x="0" y="0"/>
            <wp:positionH relativeFrom="column">
              <wp:posOffset>8392160</wp:posOffset>
            </wp:positionH>
            <wp:positionV relativeFrom="paragraph">
              <wp:posOffset>-96520</wp:posOffset>
            </wp:positionV>
            <wp:extent cx="942975" cy="942975"/>
            <wp:effectExtent l="19050" t="0" r="952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42975" cy="942975"/>
                    </a:xfrm>
                    <a:prstGeom prst="rect">
                      <a:avLst/>
                    </a:prstGeom>
                    <a:noFill/>
                    <a:ln w="9525">
                      <a:noFill/>
                      <a:miter lim="800000"/>
                      <a:headEnd/>
                      <a:tailEnd/>
                    </a:ln>
                  </pic:spPr>
                </pic:pic>
              </a:graphicData>
            </a:graphic>
          </wp:anchor>
        </w:drawing>
      </w:r>
      <w:r w:rsidRPr="00861310">
        <w:rPr>
          <w:rFonts w:ascii="Arial" w:hAnsi="Arial" w:cs="Arial"/>
          <w:b/>
          <w:noProof/>
          <w:color w:val="000000"/>
          <w:sz w:val="28"/>
          <w:lang w:eastAsia="en-GB"/>
        </w:rPr>
        <w:t>Edinburgh Fertility Centre</w:t>
      </w:r>
    </w:p>
    <w:p w14:paraId="2E2A8AFB" w14:textId="77777777" w:rsidR="00FE65DE" w:rsidRPr="00861310" w:rsidRDefault="00FE65DE" w:rsidP="00FE65DE">
      <w:pPr>
        <w:pBdr>
          <w:bottom w:val="single" w:sz="6" w:space="1" w:color="auto"/>
        </w:pBdr>
        <w:rPr>
          <w:rFonts w:ascii="Arial" w:hAnsi="Arial" w:cs="Arial"/>
          <w:b/>
          <w:noProof/>
          <w:sz w:val="32"/>
          <w:szCs w:val="32"/>
          <w:lang w:eastAsia="en-GB"/>
        </w:rPr>
      </w:pPr>
      <w:r w:rsidRPr="00861310">
        <w:rPr>
          <w:rFonts w:ascii="Arial" w:hAnsi="Arial" w:cs="Arial"/>
          <w:b/>
          <w:noProof/>
          <w:sz w:val="32"/>
          <w:szCs w:val="32"/>
          <w:lang w:eastAsia="en-GB"/>
        </w:rPr>
        <w:t>Access Criteria for NHS IVF Treatment in Scotland</w:t>
      </w:r>
    </w:p>
    <w:p w14:paraId="31227E50" w14:textId="77777777" w:rsidR="00FE65DE" w:rsidRPr="00861310" w:rsidRDefault="00FE65DE" w:rsidP="00FE65DE">
      <w:pPr>
        <w:pBdr>
          <w:bottom w:val="single" w:sz="6" w:space="1" w:color="auto"/>
        </w:pBdr>
        <w:rPr>
          <w:rFonts w:ascii="Arial" w:hAnsi="Arial" w:cs="Arial"/>
          <w:bCs/>
          <w:noProof/>
          <w:sz w:val="32"/>
          <w:szCs w:val="32"/>
          <w:lang w:eastAsia="en-GB"/>
        </w:rPr>
      </w:pPr>
      <w:r w:rsidRPr="00861310">
        <w:rPr>
          <w:rFonts w:ascii="Arial" w:hAnsi="Arial" w:cs="Arial"/>
          <w:bCs/>
          <w:noProof/>
          <w:sz w:val="32"/>
          <w:szCs w:val="32"/>
          <w:lang w:eastAsia="en-GB"/>
        </w:rPr>
        <w:t>Patient Information</w:t>
      </w:r>
    </w:p>
    <w:p w14:paraId="13548AF6" w14:textId="77777777" w:rsidR="00FE65DE" w:rsidRPr="00FE65DE" w:rsidRDefault="00FE65DE" w:rsidP="00FE65DE">
      <w:pPr>
        <w:rPr>
          <w:rFonts w:ascii="Arial" w:hAnsi="Arial"/>
          <w:b/>
          <w:sz w:val="20"/>
        </w:rPr>
      </w:pPr>
    </w:p>
    <w:p w14:paraId="2D63AA91" w14:textId="77777777" w:rsidR="00FE65DE" w:rsidRDefault="00FE65DE" w:rsidP="00616826">
      <w:pPr>
        <w:rPr>
          <w:rFonts w:ascii="Arial" w:hAnsi="Arial" w:cs="Arial"/>
          <w:color w:val="000000"/>
          <w:sz w:val="22"/>
          <w:szCs w:val="22"/>
        </w:rPr>
      </w:pPr>
    </w:p>
    <w:p w14:paraId="6393386E" w14:textId="5F81210C" w:rsidR="00616826" w:rsidRDefault="00616826" w:rsidP="00616826">
      <w:pPr>
        <w:rPr>
          <w:rFonts w:ascii="Arial" w:hAnsi="Arial" w:cs="Arial"/>
          <w:color w:val="000000"/>
          <w:sz w:val="22"/>
          <w:szCs w:val="22"/>
        </w:rPr>
      </w:pPr>
      <w:r w:rsidRPr="00953743">
        <w:rPr>
          <w:rFonts w:ascii="Arial" w:hAnsi="Arial" w:cs="Arial"/>
          <w:color w:val="000000"/>
          <w:sz w:val="22"/>
          <w:szCs w:val="22"/>
        </w:rPr>
        <w:t>Referral for</w:t>
      </w:r>
      <w:r w:rsidR="008F5D2D">
        <w:rPr>
          <w:rFonts w:ascii="Arial" w:hAnsi="Arial" w:cs="Arial"/>
          <w:color w:val="000000"/>
          <w:sz w:val="22"/>
          <w:szCs w:val="22"/>
        </w:rPr>
        <w:t xml:space="preserve"> </w:t>
      </w:r>
      <w:r w:rsidRPr="00616826">
        <w:rPr>
          <w:rFonts w:ascii="Arial" w:hAnsi="Arial" w:cs="Arial"/>
          <w:color w:val="000000"/>
          <w:sz w:val="22"/>
          <w:szCs w:val="22"/>
        </w:rPr>
        <w:t xml:space="preserve">NHS Funded </w:t>
      </w:r>
      <w:r w:rsidR="00ED512B" w:rsidRPr="00ED512B">
        <w:rPr>
          <w:rFonts w:ascii="Arial" w:hAnsi="Arial" w:cs="Arial"/>
          <w:i/>
          <w:color w:val="000000"/>
          <w:sz w:val="22"/>
          <w:szCs w:val="22"/>
        </w:rPr>
        <w:t>In Vitro</w:t>
      </w:r>
      <w:r w:rsidRPr="00616826">
        <w:rPr>
          <w:rFonts w:ascii="Arial" w:hAnsi="Arial" w:cs="Arial"/>
          <w:color w:val="000000"/>
          <w:sz w:val="22"/>
          <w:szCs w:val="22"/>
        </w:rPr>
        <w:t xml:space="preserve"> Fertilisation (IVF) / Intra-Cytoplasmic Sperm Injection (ICSI)</w:t>
      </w:r>
      <w:r w:rsidR="009C6F6B">
        <w:rPr>
          <w:rFonts w:ascii="Arial" w:hAnsi="Arial" w:cs="Arial"/>
          <w:color w:val="000000"/>
          <w:sz w:val="22"/>
          <w:szCs w:val="22"/>
        </w:rPr>
        <w:t xml:space="preserve"> t</w:t>
      </w:r>
      <w:r w:rsidRPr="00616826">
        <w:rPr>
          <w:rFonts w:ascii="Arial" w:hAnsi="Arial" w:cs="Arial"/>
          <w:color w:val="000000"/>
          <w:sz w:val="22"/>
          <w:szCs w:val="22"/>
        </w:rPr>
        <w:t>reatment</w:t>
      </w:r>
      <w:r w:rsidR="008F5D2D">
        <w:rPr>
          <w:rFonts w:ascii="Arial" w:hAnsi="Arial" w:cs="Arial"/>
          <w:color w:val="000000"/>
          <w:sz w:val="22"/>
          <w:szCs w:val="22"/>
        </w:rPr>
        <w:t xml:space="preserve"> </w:t>
      </w:r>
      <w:r w:rsidR="009C6F6B">
        <w:rPr>
          <w:rFonts w:ascii="Arial" w:hAnsi="Arial" w:cs="Arial"/>
          <w:color w:val="000000"/>
          <w:sz w:val="22"/>
          <w:szCs w:val="22"/>
        </w:rPr>
        <w:t xml:space="preserve">at Edinburgh Fertility Centre </w:t>
      </w:r>
      <w:r w:rsidRPr="00953743">
        <w:rPr>
          <w:rFonts w:ascii="Arial" w:hAnsi="Arial" w:cs="Arial"/>
          <w:color w:val="000000"/>
          <w:sz w:val="22"/>
          <w:szCs w:val="22"/>
        </w:rPr>
        <w:t xml:space="preserve">can only be made if </w:t>
      </w:r>
      <w:r w:rsidRPr="00953743">
        <w:rPr>
          <w:rFonts w:ascii="Arial" w:hAnsi="Arial" w:cs="Arial"/>
          <w:b/>
          <w:color w:val="000000"/>
          <w:sz w:val="22"/>
          <w:szCs w:val="22"/>
          <w:u w:val="single"/>
        </w:rPr>
        <w:t>all access criteria as set out below are fulfilled</w:t>
      </w:r>
      <w:r w:rsidRPr="00953743">
        <w:rPr>
          <w:rFonts w:ascii="Arial" w:hAnsi="Arial" w:cs="Arial"/>
          <w:color w:val="000000"/>
          <w:sz w:val="22"/>
          <w:szCs w:val="22"/>
        </w:rPr>
        <w:t xml:space="preserve">. </w:t>
      </w:r>
      <w:r>
        <w:rPr>
          <w:rFonts w:ascii="Arial" w:hAnsi="Arial" w:cs="Arial"/>
          <w:color w:val="000000"/>
          <w:sz w:val="22"/>
          <w:szCs w:val="22"/>
        </w:rPr>
        <w:t>Eligibility against the c</w:t>
      </w:r>
      <w:r w:rsidRPr="00953743">
        <w:rPr>
          <w:rFonts w:ascii="Arial" w:hAnsi="Arial" w:cs="Arial"/>
          <w:color w:val="000000"/>
          <w:sz w:val="22"/>
          <w:szCs w:val="22"/>
        </w:rPr>
        <w:t xml:space="preserve">riteria </w:t>
      </w:r>
      <w:r w:rsidR="009C6F6B">
        <w:rPr>
          <w:rFonts w:ascii="Arial" w:hAnsi="Arial" w:cs="Arial"/>
          <w:color w:val="000000"/>
          <w:sz w:val="22"/>
          <w:szCs w:val="22"/>
        </w:rPr>
        <w:t xml:space="preserve">is </w:t>
      </w:r>
      <w:r>
        <w:rPr>
          <w:rFonts w:ascii="Arial" w:hAnsi="Arial" w:cs="Arial"/>
          <w:color w:val="000000"/>
          <w:sz w:val="22"/>
          <w:szCs w:val="22"/>
        </w:rPr>
        <w:t>a</w:t>
      </w:r>
      <w:r w:rsidR="009C6F6B">
        <w:rPr>
          <w:rFonts w:ascii="Arial" w:hAnsi="Arial" w:cs="Arial"/>
          <w:color w:val="000000"/>
          <w:sz w:val="22"/>
          <w:szCs w:val="22"/>
        </w:rPr>
        <w:t>ss</w:t>
      </w:r>
      <w:r>
        <w:rPr>
          <w:rFonts w:ascii="Arial" w:hAnsi="Arial" w:cs="Arial"/>
          <w:color w:val="000000"/>
          <w:sz w:val="22"/>
          <w:szCs w:val="22"/>
        </w:rPr>
        <w:t xml:space="preserve">essed before any </w:t>
      </w:r>
      <w:r w:rsidR="009C6F6B">
        <w:rPr>
          <w:rFonts w:ascii="Arial" w:hAnsi="Arial" w:cs="Arial"/>
          <w:color w:val="000000"/>
          <w:sz w:val="22"/>
          <w:szCs w:val="22"/>
        </w:rPr>
        <w:t xml:space="preserve">new </w:t>
      </w:r>
      <w:r w:rsidRPr="00953743">
        <w:rPr>
          <w:rFonts w:ascii="Arial" w:hAnsi="Arial" w:cs="Arial"/>
          <w:color w:val="000000"/>
          <w:sz w:val="22"/>
          <w:szCs w:val="22"/>
        </w:rPr>
        <w:t>treatment cycle</w:t>
      </w:r>
      <w:r w:rsidR="009C6F6B">
        <w:rPr>
          <w:rFonts w:ascii="Arial" w:hAnsi="Arial" w:cs="Arial"/>
          <w:color w:val="000000"/>
          <w:sz w:val="22"/>
          <w:szCs w:val="22"/>
        </w:rPr>
        <w:t xml:space="preserve"> (fresh and frozen)</w:t>
      </w:r>
      <w:r>
        <w:rPr>
          <w:rFonts w:ascii="Arial" w:hAnsi="Arial" w:cs="Arial"/>
          <w:color w:val="000000"/>
          <w:sz w:val="22"/>
          <w:szCs w:val="22"/>
        </w:rPr>
        <w:t xml:space="preserve">. </w:t>
      </w:r>
    </w:p>
    <w:p w14:paraId="77DDC19E" w14:textId="1159B8B2" w:rsidR="00411FF5" w:rsidRDefault="00411FF5" w:rsidP="00616826">
      <w:pPr>
        <w:rPr>
          <w:rFonts w:ascii="Arial" w:hAnsi="Arial" w:cs="Arial"/>
          <w:color w:val="000000"/>
          <w:sz w:val="22"/>
          <w:szCs w:val="22"/>
        </w:rPr>
      </w:pPr>
    </w:p>
    <w:p w14:paraId="3A0F4687" w14:textId="7593C243" w:rsidR="00411FF5" w:rsidRPr="00411FF5" w:rsidRDefault="00411FF5" w:rsidP="00616826">
      <w:pPr>
        <w:rPr>
          <w:rFonts w:ascii="Arial" w:hAnsi="Arial" w:cs="Arial"/>
          <w:b/>
          <w:bCs/>
          <w:color w:val="000000"/>
          <w:sz w:val="22"/>
          <w:szCs w:val="22"/>
        </w:rPr>
      </w:pPr>
      <w:r w:rsidRPr="00411FF5">
        <w:rPr>
          <w:rFonts w:ascii="Arial" w:hAnsi="Arial" w:cs="Arial"/>
          <w:color w:val="000000"/>
          <w:sz w:val="22"/>
          <w:szCs w:val="22"/>
        </w:rPr>
        <w:t>Please be aware that if you do not meet the Access Criteria when you are offered an appointment, you will be removed from the Waiting List. You can be placed back on to the waiting list once you meet the criteria, however you will be added to the end of the waiting list.</w:t>
      </w:r>
    </w:p>
    <w:p w14:paraId="21E8BB8D" w14:textId="77777777" w:rsidR="00FF751C" w:rsidRPr="00953743" w:rsidRDefault="00FF751C" w:rsidP="00FF751C">
      <w:pPr>
        <w:rPr>
          <w:rFonts w:ascii="Arial" w:hAnsi="Arial" w:cs="Arial"/>
          <w:sz w:val="22"/>
          <w:szCs w:val="22"/>
        </w:rPr>
      </w:pPr>
    </w:p>
    <w:tbl>
      <w:tblPr>
        <w:tblStyle w:val="TableGrid"/>
        <w:tblW w:w="0" w:type="auto"/>
        <w:tblLook w:val="04A0" w:firstRow="1" w:lastRow="0" w:firstColumn="1" w:lastColumn="0" w:noHBand="0" w:noVBand="1"/>
      </w:tblPr>
      <w:tblGrid>
        <w:gridCol w:w="2344"/>
        <w:gridCol w:w="7279"/>
      </w:tblGrid>
      <w:tr w:rsidR="00387002" w14:paraId="7F6C0906" w14:textId="77777777" w:rsidTr="008159EB">
        <w:tc>
          <w:tcPr>
            <w:tcW w:w="2376" w:type="dxa"/>
          </w:tcPr>
          <w:p w14:paraId="786FDB73" w14:textId="77777777" w:rsidR="00387002" w:rsidRPr="00953743" w:rsidRDefault="009C6F6B" w:rsidP="00387002">
            <w:pPr>
              <w:pStyle w:val="CM1"/>
              <w:rPr>
                <w:rFonts w:ascii="Arial" w:hAnsi="Arial" w:cs="Arial"/>
                <w:sz w:val="22"/>
                <w:szCs w:val="22"/>
              </w:rPr>
            </w:pPr>
            <w:r>
              <w:rPr>
                <w:rFonts w:ascii="Arial" w:hAnsi="Arial" w:cs="Arial"/>
                <w:b/>
                <w:bCs/>
                <w:sz w:val="22"/>
                <w:szCs w:val="22"/>
              </w:rPr>
              <w:t>D</w:t>
            </w:r>
            <w:r w:rsidR="00387002">
              <w:rPr>
                <w:rFonts w:ascii="Arial" w:hAnsi="Arial" w:cs="Arial"/>
                <w:b/>
                <w:bCs/>
                <w:sz w:val="22"/>
                <w:szCs w:val="22"/>
              </w:rPr>
              <w:t>iagnos</w:t>
            </w:r>
            <w:r>
              <w:rPr>
                <w:rFonts w:ascii="Arial" w:hAnsi="Arial" w:cs="Arial"/>
                <w:b/>
                <w:bCs/>
                <w:sz w:val="22"/>
                <w:szCs w:val="22"/>
              </w:rPr>
              <w:t>is</w:t>
            </w:r>
          </w:p>
          <w:p w14:paraId="7642B2B3" w14:textId="77777777" w:rsidR="00387002" w:rsidRDefault="00387002" w:rsidP="00C959F3">
            <w:pPr>
              <w:rPr>
                <w:rFonts w:ascii="Arial" w:hAnsi="Arial" w:cs="Arial"/>
                <w:b/>
                <w:bCs/>
                <w:sz w:val="22"/>
                <w:szCs w:val="22"/>
              </w:rPr>
            </w:pPr>
          </w:p>
        </w:tc>
        <w:tc>
          <w:tcPr>
            <w:tcW w:w="7473" w:type="dxa"/>
          </w:tcPr>
          <w:p w14:paraId="77CE7AD4" w14:textId="5542D5DD" w:rsidR="00387002" w:rsidRPr="00953743" w:rsidRDefault="009C6F6B" w:rsidP="00387002">
            <w:pPr>
              <w:pStyle w:val="CM10"/>
              <w:spacing w:line="253" w:lineRule="atLeast"/>
              <w:ind w:left="176"/>
              <w:rPr>
                <w:rFonts w:ascii="Arial" w:hAnsi="Arial" w:cs="Arial"/>
                <w:color w:val="000000"/>
                <w:sz w:val="22"/>
                <w:szCs w:val="22"/>
              </w:rPr>
            </w:pPr>
            <w:r>
              <w:rPr>
                <w:rFonts w:ascii="Arial" w:hAnsi="Arial" w:cs="Arial"/>
                <w:color w:val="000000"/>
                <w:sz w:val="22"/>
                <w:szCs w:val="22"/>
              </w:rPr>
              <w:t>Sub</w:t>
            </w:r>
            <w:r w:rsidR="00387002" w:rsidRPr="00953743">
              <w:rPr>
                <w:rFonts w:ascii="Arial" w:hAnsi="Arial" w:cs="Arial"/>
                <w:color w:val="000000"/>
                <w:sz w:val="22"/>
                <w:szCs w:val="22"/>
              </w:rPr>
              <w:t>fertility with an appropriate cause of any duration - all couples</w:t>
            </w:r>
            <w:r w:rsidR="00387002" w:rsidRPr="00953743">
              <w:rPr>
                <w:rFonts w:ascii="Arial" w:hAnsi="Arial" w:cs="Arial"/>
                <w:color w:val="000000"/>
                <w:sz w:val="22"/>
                <w:szCs w:val="22"/>
              </w:rPr>
              <w:br/>
            </w:r>
            <w:r w:rsidR="00387002" w:rsidRPr="00953743">
              <w:rPr>
                <w:rFonts w:ascii="Arial" w:hAnsi="Arial" w:cs="Arial"/>
                <w:b/>
                <w:i/>
                <w:color w:val="000000"/>
                <w:sz w:val="22"/>
                <w:szCs w:val="22"/>
              </w:rPr>
              <w:t xml:space="preserve">OR </w:t>
            </w:r>
          </w:p>
          <w:p w14:paraId="474B1652" w14:textId="77777777" w:rsidR="00387002" w:rsidRPr="00953743" w:rsidRDefault="00387002" w:rsidP="00387002">
            <w:pPr>
              <w:pStyle w:val="CM10"/>
              <w:spacing w:line="253" w:lineRule="atLeast"/>
              <w:ind w:left="176"/>
              <w:rPr>
                <w:rFonts w:ascii="Arial" w:hAnsi="Arial" w:cs="Arial"/>
                <w:color w:val="000000"/>
                <w:sz w:val="22"/>
                <w:szCs w:val="22"/>
              </w:rPr>
            </w:pPr>
            <w:r w:rsidRPr="00953743">
              <w:rPr>
                <w:rFonts w:ascii="Arial" w:hAnsi="Arial" w:cs="Arial"/>
                <w:color w:val="000000"/>
                <w:sz w:val="22"/>
                <w:szCs w:val="22"/>
              </w:rPr>
              <w:t xml:space="preserve">Unexplained </w:t>
            </w:r>
            <w:r w:rsidR="009C6F6B">
              <w:rPr>
                <w:rFonts w:ascii="Arial" w:hAnsi="Arial" w:cs="Arial"/>
                <w:color w:val="000000"/>
                <w:sz w:val="22"/>
                <w:szCs w:val="22"/>
              </w:rPr>
              <w:t>sub</w:t>
            </w:r>
            <w:r w:rsidRPr="00953743">
              <w:rPr>
                <w:rFonts w:ascii="Arial" w:hAnsi="Arial" w:cs="Arial"/>
                <w:color w:val="000000"/>
                <w:sz w:val="22"/>
                <w:szCs w:val="22"/>
              </w:rPr>
              <w:t xml:space="preserve">fertility of two years – heterosexual couples </w:t>
            </w:r>
          </w:p>
          <w:p w14:paraId="26A412A5" w14:textId="77777777" w:rsidR="00387002" w:rsidRDefault="00387002" w:rsidP="00387002">
            <w:pPr>
              <w:pStyle w:val="CM10"/>
              <w:spacing w:line="253" w:lineRule="atLeast"/>
              <w:ind w:left="176"/>
              <w:rPr>
                <w:rFonts w:ascii="Arial" w:hAnsi="Arial" w:cs="Arial"/>
                <w:color w:val="000000"/>
                <w:sz w:val="22"/>
                <w:szCs w:val="22"/>
              </w:rPr>
            </w:pPr>
            <w:r w:rsidRPr="00953743">
              <w:rPr>
                <w:rFonts w:ascii="Arial" w:hAnsi="Arial" w:cs="Arial"/>
                <w:color w:val="000000"/>
                <w:sz w:val="22"/>
                <w:szCs w:val="22"/>
              </w:rPr>
              <w:t xml:space="preserve">Unexplained </w:t>
            </w:r>
            <w:r w:rsidR="009C6F6B">
              <w:rPr>
                <w:rFonts w:ascii="Arial" w:hAnsi="Arial" w:cs="Arial"/>
                <w:color w:val="000000"/>
                <w:sz w:val="22"/>
                <w:szCs w:val="22"/>
              </w:rPr>
              <w:t>sub</w:t>
            </w:r>
            <w:r w:rsidRPr="00953743">
              <w:rPr>
                <w:rFonts w:ascii="Arial" w:hAnsi="Arial" w:cs="Arial"/>
                <w:color w:val="000000"/>
                <w:sz w:val="22"/>
                <w:szCs w:val="22"/>
              </w:rPr>
              <w:t xml:space="preserve">fertility following six cycles of donor insemination – same sex couples </w:t>
            </w:r>
          </w:p>
        </w:tc>
      </w:tr>
      <w:tr w:rsidR="00387002" w14:paraId="24D6284A" w14:textId="77777777" w:rsidTr="008159EB">
        <w:tc>
          <w:tcPr>
            <w:tcW w:w="2376" w:type="dxa"/>
          </w:tcPr>
          <w:p w14:paraId="6EA31726" w14:textId="77777777" w:rsidR="00387002" w:rsidRPr="00387002" w:rsidRDefault="00387002" w:rsidP="00C959F3">
            <w:pPr>
              <w:rPr>
                <w:rFonts w:ascii="Arial" w:hAnsi="Arial" w:cs="Arial"/>
                <w:b/>
                <w:bCs/>
                <w:sz w:val="22"/>
                <w:szCs w:val="22"/>
              </w:rPr>
            </w:pPr>
            <w:r>
              <w:rPr>
                <w:rFonts w:ascii="Arial" w:hAnsi="Arial" w:cs="Arial"/>
                <w:b/>
                <w:bCs/>
                <w:sz w:val="22"/>
                <w:szCs w:val="22"/>
              </w:rPr>
              <w:t>Residency</w:t>
            </w:r>
          </w:p>
        </w:tc>
        <w:tc>
          <w:tcPr>
            <w:tcW w:w="7473" w:type="dxa"/>
          </w:tcPr>
          <w:p w14:paraId="01BC0345" w14:textId="77777777" w:rsidR="00387002" w:rsidRPr="00387002" w:rsidRDefault="009C6F6B" w:rsidP="00387002">
            <w:pPr>
              <w:pStyle w:val="CM10"/>
              <w:spacing w:line="276" w:lineRule="auto"/>
              <w:ind w:left="176"/>
              <w:rPr>
                <w:rFonts w:ascii="Arial" w:hAnsi="Arial" w:cs="Arial"/>
                <w:color w:val="000000"/>
                <w:sz w:val="22"/>
                <w:szCs w:val="22"/>
              </w:rPr>
            </w:pPr>
            <w:r>
              <w:rPr>
                <w:rFonts w:ascii="Arial" w:hAnsi="Arial" w:cs="Arial"/>
                <w:color w:val="000000"/>
                <w:sz w:val="22"/>
                <w:szCs w:val="22"/>
              </w:rPr>
              <w:t xml:space="preserve">Live within </w:t>
            </w:r>
            <w:r w:rsidR="00387002">
              <w:rPr>
                <w:rFonts w:ascii="Arial" w:hAnsi="Arial" w:cs="Arial"/>
                <w:color w:val="000000"/>
                <w:sz w:val="22"/>
                <w:szCs w:val="22"/>
              </w:rPr>
              <w:t>Lothian or the Borders.</w:t>
            </w:r>
          </w:p>
        </w:tc>
      </w:tr>
      <w:tr w:rsidR="00387002" w14:paraId="6C8151D2" w14:textId="77777777" w:rsidTr="008159EB">
        <w:tc>
          <w:tcPr>
            <w:tcW w:w="2376" w:type="dxa"/>
          </w:tcPr>
          <w:p w14:paraId="46D45788" w14:textId="77777777" w:rsidR="00387002" w:rsidRPr="00953743" w:rsidRDefault="00387002" w:rsidP="00C959F3">
            <w:pPr>
              <w:pStyle w:val="CM1"/>
              <w:rPr>
                <w:rFonts w:ascii="Arial" w:hAnsi="Arial" w:cs="Arial"/>
                <w:sz w:val="22"/>
                <w:szCs w:val="22"/>
              </w:rPr>
            </w:pPr>
            <w:r w:rsidRPr="00953743">
              <w:rPr>
                <w:rFonts w:ascii="Arial" w:hAnsi="Arial" w:cs="Arial"/>
                <w:b/>
                <w:bCs/>
                <w:sz w:val="22"/>
                <w:szCs w:val="22"/>
              </w:rPr>
              <w:t xml:space="preserve">Stable relationship </w:t>
            </w:r>
          </w:p>
          <w:p w14:paraId="5B2ED32C" w14:textId="77777777" w:rsidR="00387002" w:rsidRPr="0031027F" w:rsidRDefault="00387002" w:rsidP="00387002">
            <w:pPr>
              <w:rPr>
                <w:lang w:eastAsia="en-GB"/>
              </w:rPr>
            </w:pPr>
          </w:p>
        </w:tc>
        <w:tc>
          <w:tcPr>
            <w:tcW w:w="7473" w:type="dxa"/>
          </w:tcPr>
          <w:p w14:paraId="2E6825DD" w14:textId="77777777" w:rsidR="00387002" w:rsidRPr="00387002" w:rsidRDefault="009C6F6B" w:rsidP="00387002">
            <w:pPr>
              <w:pStyle w:val="CM10"/>
              <w:spacing w:line="276" w:lineRule="auto"/>
              <w:ind w:left="176"/>
              <w:rPr>
                <w:rFonts w:ascii="Arial" w:hAnsi="Arial" w:cs="Arial"/>
                <w:color w:val="000000"/>
                <w:sz w:val="22"/>
                <w:szCs w:val="22"/>
              </w:rPr>
            </w:pPr>
            <w:r>
              <w:rPr>
                <w:rFonts w:ascii="Arial" w:hAnsi="Arial" w:cs="Arial"/>
                <w:color w:val="000000"/>
                <w:sz w:val="22"/>
                <w:szCs w:val="22"/>
              </w:rPr>
              <w:t>Couple h</w:t>
            </w:r>
            <w:r w:rsidR="00387002" w:rsidRPr="00953743">
              <w:rPr>
                <w:rFonts w:ascii="Arial" w:hAnsi="Arial" w:cs="Arial"/>
                <w:color w:val="000000"/>
                <w:sz w:val="22"/>
                <w:szCs w:val="22"/>
              </w:rPr>
              <w:t>ave been co-habiting (at the same address) in a stable relationship for a minimum of two years.</w:t>
            </w:r>
          </w:p>
        </w:tc>
      </w:tr>
      <w:tr w:rsidR="00387002" w14:paraId="3282BA09" w14:textId="77777777" w:rsidTr="008159EB">
        <w:tc>
          <w:tcPr>
            <w:tcW w:w="2376" w:type="dxa"/>
          </w:tcPr>
          <w:p w14:paraId="382CCA85" w14:textId="77777777" w:rsidR="00387002" w:rsidRPr="00152017" w:rsidRDefault="00387002" w:rsidP="00387002">
            <w:pPr>
              <w:rPr>
                <w:rFonts w:ascii="Arial" w:hAnsi="Arial" w:cs="Arial"/>
                <w:b/>
                <w:bCs/>
                <w:sz w:val="22"/>
                <w:szCs w:val="22"/>
              </w:rPr>
            </w:pPr>
            <w:r w:rsidRPr="00953743">
              <w:rPr>
                <w:rFonts w:ascii="Arial" w:hAnsi="Arial" w:cs="Arial"/>
                <w:b/>
                <w:bCs/>
                <w:sz w:val="22"/>
                <w:szCs w:val="22"/>
              </w:rPr>
              <w:t>Sterilisation</w:t>
            </w:r>
          </w:p>
        </w:tc>
        <w:tc>
          <w:tcPr>
            <w:tcW w:w="7473" w:type="dxa"/>
          </w:tcPr>
          <w:p w14:paraId="29621314" w14:textId="77777777" w:rsidR="00387002" w:rsidRDefault="00387002" w:rsidP="00387002">
            <w:pPr>
              <w:spacing w:line="276" w:lineRule="auto"/>
              <w:ind w:left="176"/>
              <w:rPr>
                <w:lang w:eastAsia="en-GB"/>
              </w:rPr>
            </w:pPr>
            <w:r w:rsidRPr="0031027F">
              <w:rPr>
                <w:rFonts w:ascii="Arial" w:hAnsi="Arial" w:cs="Arial"/>
                <w:color w:val="000000"/>
                <w:sz w:val="22"/>
                <w:szCs w:val="22"/>
              </w:rPr>
              <w:t xml:space="preserve">Neither partner </w:t>
            </w:r>
            <w:r w:rsidR="009C6F6B">
              <w:rPr>
                <w:rFonts w:ascii="Arial" w:hAnsi="Arial" w:cs="Arial"/>
                <w:color w:val="000000"/>
                <w:sz w:val="22"/>
                <w:szCs w:val="22"/>
              </w:rPr>
              <w:t xml:space="preserve">has </w:t>
            </w:r>
            <w:r w:rsidRPr="0031027F">
              <w:rPr>
                <w:rFonts w:ascii="Arial" w:hAnsi="Arial" w:cs="Arial"/>
                <w:color w:val="000000"/>
                <w:sz w:val="22"/>
                <w:szCs w:val="22"/>
              </w:rPr>
              <w:t xml:space="preserve">had voluntary sterilisation </w:t>
            </w:r>
            <w:r w:rsidR="009C6F6B">
              <w:rPr>
                <w:rFonts w:ascii="Arial" w:hAnsi="Arial" w:cs="Arial"/>
                <w:color w:val="000000"/>
                <w:sz w:val="22"/>
                <w:szCs w:val="22"/>
              </w:rPr>
              <w:t>(even if reversed).</w:t>
            </w:r>
          </w:p>
        </w:tc>
      </w:tr>
      <w:tr w:rsidR="00387002" w14:paraId="2A7D5674" w14:textId="77777777" w:rsidTr="008159EB">
        <w:tc>
          <w:tcPr>
            <w:tcW w:w="2376" w:type="dxa"/>
          </w:tcPr>
          <w:p w14:paraId="5C27C7F4" w14:textId="77777777" w:rsidR="00387002" w:rsidRPr="001B4424" w:rsidRDefault="00387002" w:rsidP="00C959F3">
            <w:pPr>
              <w:pStyle w:val="CM1"/>
              <w:rPr>
                <w:rFonts w:ascii="Arial" w:hAnsi="Arial" w:cs="Arial"/>
                <w:sz w:val="22"/>
                <w:szCs w:val="22"/>
              </w:rPr>
            </w:pPr>
            <w:r w:rsidRPr="001B4424">
              <w:rPr>
                <w:rFonts w:ascii="Arial" w:hAnsi="Arial" w:cs="Arial"/>
                <w:b/>
                <w:bCs/>
                <w:sz w:val="22"/>
                <w:szCs w:val="22"/>
              </w:rPr>
              <w:t>Biological child</w:t>
            </w:r>
          </w:p>
          <w:p w14:paraId="7D2ECFED" w14:textId="77777777" w:rsidR="00387002" w:rsidRDefault="00387002" w:rsidP="00C959F3">
            <w:pPr>
              <w:rPr>
                <w:lang w:eastAsia="en-GB"/>
              </w:rPr>
            </w:pPr>
          </w:p>
        </w:tc>
        <w:tc>
          <w:tcPr>
            <w:tcW w:w="7473" w:type="dxa"/>
          </w:tcPr>
          <w:p w14:paraId="07EBB3B5" w14:textId="77777777" w:rsidR="009C6F6B" w:rsidRDefault="009C6F6B" w:rsidP="00387002">
            <w:pPr>
              <w:spacing w:line="276" w:lineRule="auto"/>
              <w:ind w:left="176"/>
              <w:rPr>
                <w:rFonts w:ascii="Arial" w:hAnsi="Arial" w:cs="Arial"/>
                <w:color w:val="000000"/>
                <w:sz w:val="22"/>
                <w:szCs w:val="22"/>
              </w:rPr>
            </w:pPr>
            <w:r>
              <w:rPr>
                <w:rFonts w:ascii="Arial" w:hAnsi="Arial" w:cs="Arial"/>
                <w:color w:val="000000"/>
                <w:sz w:val="22"/>
                <w:szCs w:val="22"/>
              </w:rPr>
              <w:t>At least</w:t>
            </w:r>
            <w:r w:rsidR="00387002" w:rsidRPr="0031027F">
              <w:rPr>
                <w:rFonts w:ascii="Arial" w:hAnsi="Arial" w:cs="Arial"/>
                <w:color w:val="000000"/>
                <w:sz w:val="22"/>
                <w:szCs w:val="22"/>
              </w:rPr>
              <w:t xml:space="preserve"> one partner </w:t>
            </w:r>
            <w:r>
              <w:rPr>
                <w:rFonts w:ascii="Arial" w:hAnsi="Arial" w:cs="Arial"/>
                <w:color w:val="000000"/>
                <w:sz w:val="22"/>
                <w:szCs w:val="22"/>
              </w:rPr>
              <w:t>must have</w:t>
            </w:r>
            <w:r w:rsidR="00387002" w:rsidRPr="0031027F">
              <w:rPr>
                <w:rFonts w:ascii="Arial" w:hAnsi="Arial" w:cs="Arial"/>
                <w:color w:val="000000"/>
                <w:sz w:val="22"/>
                <w:szCs w:val="22"/>
              </w:rPr>
              <w:t xml:space="preserve"> no living biological child. </w:t>
            </w:r>
          </w:p>
          <w:p w14:paraId="7859DCED" w14:textId="77777777" w:rsidR="00387002" w:rsidRDefault="00387002" w:rsidP="00387002">
            <w:pPr>
              <w:spacing w:line="276" w:lineRule="auto"/>
              <w:ind w:left="176"/>
              <w:rPr>
                <w:lang w:eastAsia="en-GB"/>
              </w:rPr>
            </w:pPr>
            <w:r w:rsidRPr="0031027F">
              <w:rPr>
                <w:rFonts w:ascii="Arial" w:hAnsi="Arial" w:cs="Arial"/>
                <w:color w:val="000000"/>
                <w:sz w:val="22"/>
                <w:szCs w:val="22"/>
              </w:rPr>
              <w:t>Same sex couples who have previously conceived through assisted conception and are both named on the resulting child’s birth certificate are not eligible for future treatment.</w:t>
            </w:r>
          </w:p>
        </w:tc>
      </w:tr>
      <w:tr w:rsidR="00387002" w14:paraId="408852EE" w14:textId="77777777" w:rsidTr="008159EB">
        <w:tc>
          <w:tcPr>
            <w:tcW w:w="2376" w:type="dxa"/>
          </w:tcPr>
          <w:p w14:paraId="256A586A" w14:textId="77777777" w:rsidR="00387002" w:rsidRDefault="00387002" w:rsidP="00C959F3">
            <w:pPr>
              <w:rPr>
                <w:lang w:eastAsia="en-GB"/>
              </w:rPr>
            </w:pPr>
            <w:r w:rsidRPr="00953743">
              <w:rPr>
                <w:rFonts w:ascii="Arial" w:hAnsi="Arial" w:cs="Arial"/>
                <w:b/>
                <w:bCs/>
                <w:sz w:val="22"/>
                <w:szCs w:val="22"/>
              </w:rPr>
              <w:t>Body Mass Index (BMI)</w:t>
            </w:r>
          </w:p>
        </w:tc>
        <w:tc>
          <w:tcPr>
            <w:tcW w:w="7473" w:type="dxa"/>
          </w:tcPr>
          <w:p w14:paraId="7BCE9DCA" w14:textId="77777777" w:rsidR="00387002" w:rsidRDefault="00387002" w:rsidP="009C6F6B">
            <w:pPr>
              <w:spacing w:line="276" w:lineRule="auto"/>
              <w:ind w:left="176"/>
              <w:rPr>
                <w:lang w:eastAsia="en-GB"/>
              </w:rPr>
            </w:pPr>
            <w:r w:rsidRPr="0031027F">
              <w:rPr>
                <w:rFonts w:ascii="Arial" w:hAnsi="Arial" w:cs="Arial"/>
                <w:bCs/>
                <w:sz w:val="22"/>
                <w:szCs w:val="22"/>
              </w:rPr>
              <w:t xml:space="preserve">The prospective birth mother must have a BMI above 18.5 and below 30. </w:t>
            </w:r>
          </w:p>
        </w:tc>
      </w:tr>
      <w:tr w:rsidR="00387002" w14:paraId="116E8A2F" w14:textId="77777777" w:rsidTr="008159EB">
        <w:tc>
          <w:tcPr>
            <w:tcW w:w="2376" w:type="dxa"/>
          </w:tcPr>
          <w:p w14:paraId="48E25ABD" w14:textId="77777777" w:rsidR="00387002" w:rsidRDefault="00387002" w:rsidP="00C959F3">
            <w:pPr>
              <w:rPr>
                <w:lang w:eastAsia="en-GB"/>
              </w:rPr>
            </w:pPr>
            <w:r w:rsidRPr="00953743">
              <w:rPr>
                <w:rFonts w:ascii="Arial" w:hAnsi="Arial" w:cs="Arial"/>
                <w:b/>
                <w:bCs/>
                <w:sz w:val="22"/>
                <w:szCs w:val="22"/>
              </w:rPr>
              <w:t>Smoking</w:t>
            </w:r>
          </w:p>
        </w:tc>
        <w:tc>
          <w:tcPr>
            <w:tcW w:w="7473" w:type="dxa"/>
          </w:tcPr>
          <w:p w14:paraId="2EBFDC2E" w14:textId="77777777" w:rsidR="00387002" w:rsidRDefault="00387002" w:rsidP="00C959F3">
            <w:pPr>
              <w:spacing w:line="276" w:lineRule="auto"/>
              <w:ind w:left="176"/>
              <w:rPr>
                <w:lang w:eastAsia="en-GB"/>
              </w:rPr>
            </w:pPr>
            <w:r w:rsidRPr="0031027F">
              <w:rPr>
                <w:rFonts w:ascii="Arial" w:hAnsi="Arial" w:cs="Arial"/>
                <w:bCs/>
                <w:sz w:val="22"/>
                <w:szCs w:val="22"/>
              </w:rPr>
              <w:t>B</w:t>
            </w:r>
            <w:r>
              <w:rPr>
                <w:rFonts w:ascii="Arial" w:hAnsi="Arial" w:cs="Arial"/>
                <w:bCs/>
                <w:sz w:val="22"/>
                <w:szCs w:val="22"/>
              </w:rPr>
              <w:t xml:space="preserve">oth partners must not smoke, </w:t>
            </w:r>
            <w:proofErr w:type="gramStart"/>
            <w:r>
              <w:rPr>
                <w:rFonts w:ascii="Arial" w:hAnsi="Arial" w:cs="Arial"/>
                <w:bCs/>
                <w:sz w:val="22"/>
                <w:szCs w:val="22"/>
              </w:rPr>
              <w:t>vape</w:t>
            </w:r>
            <w:proofErr w:type="gramEnd"/>
            <w:r>
              <w:rPr>
                <w:rFonts w:ascii="Arial" w:hAnsi="Arial" w:cs="Arial"/>
                <w:bCs/>
                <w:sz w:val="22"/>
                <w:szCs w:val="22"/>
              </w:rPr>
              <w:t xml:space="preserve"> or use </w:t>
            </w:r>
            <w:r w:rsidRPr="0031027F">
              <w:rPr>
                <w:rFonts w:ascii="Arial" w:hAnsi="Arial" w:cs="Arial"/>
                <w:bCs/>
                <w:sz w:val="22"/>
                <w:szCs w:val="22"/>
              </w:rPr>
              <w:t>nicotine for at least three months before referral for treatment and couples must continue to be non-smoking</w:t>
            </w:r>
            <w:r w:rsidR="00FE65DE">
              <w:rPr>
                <w:rFonts w:ascii="Arial" w:hAnsi="Arial" w:cs="Arial"/>
                <w:bCs/>
                <w:sz w:val="22"/>
                <w:szCs w:val="22"/>
              </w:rPr>
              <w:t>/vaping</w:t>
            </w:r>
            <w:r w:rsidRPr="0031027F">
              <w:rPr>
                <w:rFonts w:ascii="Arial" w:hAnsi="Arial" w:cs="Arial"/>
                <w:bCs/>
                <w:sz w:val="22"/>
                <w:szCs w:val="22"/>
              </w:rPr>
              <w:t xml:space="preserve"> and nicotine free during treatment.</w:t>
            </w:r>
          </w:p>
        </w:tc>
      </w:tr>
      <w:tr w:rsidR="00387002" w14:paraId="0E70FD4C" w14:textId="77777777" w:rsidTr="008159EB">
        <w:tc>
          <w:tcPr>
            <w:tcW w:w="2376" w:type="dxa"/>
          </w:tcPr>
          <w:p w14:paraId="58B7ECC3" w14:textId="77777777" w:rsidR="00387002" w:rsidRPr="00953743" w:rsidRDefault="00387002" w:rsidP="00C959F3">
            <w:pPr>
              <w:pStyle w:val="CM3"/>
              <w:rPr>
                <w:rFonts w:ascii="Arial" w:hAnsi="Arial" w:cs="Arial"/>
                <w:bCs/>
                <w:sz w:val="22"/>
                <w:szCs w:val="22"/>
              </w:rPr>
            </w:pPr>
            <w:r w:rsidRPr="00953743">
              <w:rPr>
                <w:rFonts w:ascii="Arial" w:hAnsi="Arial" w:cs="Arial"/>
                <w:b/>
                <w:bCs/>
                <w:sz w:val="22"/>
                <w:szCs w:val="22"/>
              </w:rPr>
              <w:t>Alcohol and Drugs</w:t>
            </w:r>
          </w:p>
          <w:p w14:paraId="2302DDD1" w14:textId="77777777" w:rsidR="00387002" w:rsidRDefault="00387002" w:rsidP="00C959F3">
            <w:pPr>
              <w:rPr>
                <w:lang w:eastAsia="en-GB"/>
              </w:rPr>
            </w:pPr>
          </w:p>
        </w:tc>
        <w:tc>
          <w:tcPr>
            <w:tcW w:w="7473" w:type="dxa"/>
          </w:tcPr>
          <w:p w14:paraId="400460C2" w14:textId="77777777" w:rsidR="00387002" w:rsidRPr="00923334" w:rsidRDefault="00387002" w:rsidP="009333D6">
            <w:pPr>
              <w:spacing w:line="276" w:lineRule="auto"/>
              <w:ind w:left="176"/>
              <w:rPr>
                <w:lang w:eastAsia="en-GB"/>
              </w:rPr>
            </w:pPr>
            <w:r w:rsidRPr="009333D6">
              <w:rPr>
                <w:rFonts w:ascii="Arial" w:hAnsi="Arial" w:cs="Arial"/>
                <w:bCs/>
                <w:sz w:val="22"/>
                <w:szCs w:val="22"/>
              </w:rPr>
              <w:t xml:space="preserve">Both partners must </w:t>
            </w:r>
            <w:r w:rsidR="009C6F6B" w:rsidRPr="009333D6">
              <w:rPr>
                <w:rFonts w:ascii="Arial" w:hAnsi="Arial" w:cs="Arial"/>
                <w:bCs/>
                <w:sz w:val="22"/>
                <w:szCs w:val="22"/>
              </w:rPr>
              <w:t xml:space="preserve">not use </w:t>
            </w:r>
            <w:r w:rsidRPr="009333D6">
              <w:rPr>
                <w:rFonts w:ascii="Arial" w:hAnsi="Arial" w:cs="Arial"/>
                <w:bCs/>
                <w:sz w:val="22"/>
                <w:szCs w:val="22"/>
              </w:rPr>
              <w:t>illegal and abusive substances</w:t>
            </w:r>
            <w:r w:rsidR="00FE65DE" w:rsidRPr="009333D6">
              <w:rPr>
                <w:rFonts w:ascii="Arial" w:hAnsi="Arial" w:cs="Arial"/>
                <w:bCs/>
                <w:sz w:val="22"/>
                <w:szCs w:val="22"/>
              </w:rPr>
              <w:t>.</w:t>
            </w:r>
          </w:p>
          <w:p w14:paraId="0300D769" w14:textId="77777777" w:rsidR="00387002" w:rsidRPr="00923334" w:rsidRDefault="00387002" w:rsidP="009333D6">
            <w:pPr>
              <w:spacing w:line="276" w:lineRule="auto"/>
              <w:ind w:left="176"/>
              <w:rPr>
                <w:lang w:eastAsia="en-GB"/>
              </w:rPr>
            </w:pPr>
            <w:r w:rsidRPr="009333D6">
              <w:rPr>
                <w:rFonts w:ascii="Arial" w:hAnsi="Arial" w:cs="Arial"/>
                <w:bCs/>
                <w:sz w:val="22"/>
                <w:szCs w:val="22"/>
              </w:rPr>
              <w:t>Both partners must be Methadone free for at least one year prior to referral for treatment</w:t>
            </w:r>
            <w:r w:rsidR="00FE65DE" w:rsidRPr="009333D6">
              <w:rPr>
                <w:rFonts w:ascii="Arial" w:hAnsi="Arial" w:cs="Arial"/>
                <w:bCs/>
                <w:sz w:val="22"/>
                <w:szCs w:val="22"/>
              </w:rPr>
              <w:t xml:space="preserve"> and continue to be Methadone free for the duration of treatment.</w:t>
            </w:r>
          </w:p>
          <w:p w14:paraId="52547DF5" w14:textId="77777777" w:rsidR="00387002" w:rsidRDefault="00387002" w:rsidP="009333D6">
            <w:pPr>
              <w:spacing w:line="276" w:lineRule="auto"/>
              <w:ind w:left="176"/>
              <w:rPr>
                <w:lang w:eastAsia="en-GB"/>
              </w:rPr>
            </w:pPr>
            <w:r w:rsidRPr="009333D6">
              <w:rPr>
                <w:rFonts w:ascii="Arial" w:hAnsi="Arial" w:cs="Arial"/>
                <w:bCs/>
                <w:sz w:val="22"/>
                <w:szCs w:val="22"/>
              </w:rPr>
              <w:t>Neither partner should drink alcohol prior to or during the period of treatment</w:t>
            </w:r>
            <w:r w:rsidR="00FE65DE" w:rsidRPr="009333D6">
              <w:rPr>
                <w:rFonts w:ascii="Arial" w:hAnsi="Arial" w:cs="Arial"/>
                <w:bCs/>
                <w:sz w:val="22"/>
                <w:szCs w:val="22"/>
              </w:rPr>
              <w:t>.</w:t>
            </w:r>
          </w:p>
        </w:tc>
      </w:tr>
      <w:tr w:rsidR="00387002" w14:paraId="6B811143" w14:textId="77777777" w:rsidTr="008159EB">
        <w:tc>
          <w:tcPr>
            <w:tcW w:w="2376" w:type="dxa"/>
          </w:tcPr>
          <w:p w14:paraId="1FB1F632" w14:textId="77777777" w:rsidR="00387002" w:rsidRPr="001B4424" w:rsidRDefault="00387002" w:rsidP="00C959F3">
            <w:pPr>
              <w:pStyle w:val="CM1"/>
              <w:rPr>
                <w:rFonts w:ascii="Arial" w:hAnsi="Arial" w:cs="Arial"/>
                <w:b/>
                <w:bCs/>
                <w:sz w:val="22"/>
                <w:szCs w:val="22"/>
              </w:rPr>
            </w:pPr>
            <w:r w:rsidRPr="001B4424">
              <w:rPr>
                <w:rFonts w:ascii="Arial" w:hAnsi="Arial" w:cs="Arial"/>
                <w:b/>
                <w:bCs/>
                <w:sz w:val="22"/>
                <w:szCs w:val="22"/>
              </w:rPr>
              <w:t>Age</w:t>
            </w:r>
          </w:p>
          <w:p w14:paraId="093EAEBD" w14:textId="77777777" w:rsidR="00387002" w:rsidRDefault="00387002" w:rsidP="00C959F3">
            <w:pPr>
              <w:rPr>
                <w:lang w:eastAsia="en-GB"/>
              </w:rPr>
            </w:pPr>
          </w:p>
        </w:tc>
        <w:tc>
          <w:tcPr>
            <w:tcW w:w="7473" w:type="dxa"/>
          </w:tcPr>
          <w:p w14:paraId="44C24294" w14:textId="77777777" w:rsidR="00387002" w:rsidRDefault="00C0050A" w:rsidP="00FE65DE">
            <w:pPr>
              <w:spacing w:line="276" w:lineRule="auto"/>
              <w:ind w:left="176"/>
              <w:rPr>
                <w:lang w:eastAsia="en-GB"/>
              </w:rPr>
            </w:pPr>
            <w:r>
              <w:rPr>
                <w:rFonts w:ascii="Arial" w:hAnsi="Arial" w:cs="Arial"/>
                <w:bCs/>
                <w:sz w:val="22"/>
                <w:szCs w:val="22"/>
              </w:rPr>
              <w:t>If a couple is referred for IVF</w:t>
            </w:r>
            <w:r w:rsidR="009C6F6B">
              <w:rPr>
                <w:rFonts w:ascii="Arial" w:hAnsi="Arial" w:cs="Arial"/>
                <w:bCs/>
                <w:sz w:val="22"/>
                <w:szCs w:val="22"/>
              </w:rPr>
              <w:t>/</w:t>
            </w:r>
            <w:r>
              <w:rPr>
                <w:rFonts w:ascii="Arial" w:hAnsi="Arial" w:cs="Arial"/>
                <w:bCs/>
                <w:sz w:val="22"/>
                <w:szCs w:val="22"/>
              </w:rPr>
              <w:t xml:space="preserve">ICSI treatment </w:t>
            </w:r>
            <w:r w:rsidRPr="00953743">
              <w:rPr>
                <w:rFonts w:ascii="Arial" w:hAnsi="Arial" w:cs="Arial"/>
                <w:bCs/>
                <w:sz w:val="22"/>
                <w:szCs w:val="22"/>
              </w:rPr>
              <w:t>whe</w:t>
            </w:r>
            <w:r>
              <w:rPr>
                <w:rFonts w:ascii="Arial" w:hAnsi="Arial" w:cs="Arial"/>
                <w:bCs/>
                <w:sz w:val="22"/>
                <w:szCs w:val="22"/>
              </w:rPr>
              <w:t>re</w:t>
            </w:r>
            <w:r w:rsidRPr="00953743">
              <w:rPr>
                <w:rFonts w:ascii="Arial" w:hAnsi="Arial" w:cs="Arial"/>
                <w:bCs/>
                <w:sz w:val="22"/>
                <w:szCs w:val="22"/>
              </w:rPr>
              <w:t xml:space="preserve"> the </w:t>
            </w:r>
            <w:r w:rsidR="00FE65DE">
              <w:rPr>
                <w:rFonts w:ascii="Arial" w:hAnsi="Arial" w:cs="Arial"/>
                <w:bCs/>
                <w:sz w:val="22"/>
                <w:szCs w:val="22"/>
              </w:rPr>
              <w:t>intended birth mother</w:t>
            </w:r>
            <w:r w:rsidRPr="00953743">
              <w:rPr>
                <w:rFonts w:ascii="Arial" w:hAnsi="Arial" w:cs="Arial"/>
                <w:bCs/>
                <w:sz w:val="22"/>
                <w:szCs w:val="22"/>
              </w:rPr>
              <w:t xml:space="preserve"> is </w:t>
            </w:r>
            <w:r>
              <w:rPr>
                <w:rFonts w:ascii="Arial" w:hAnsi="Arial" w:cs="Arial"/>
                <w:bCs/>
                <w:sz w:val="22"/>
                <w:szCs w:val="22"/>
              </w:rPr>
              <w:t xml:space="preserve">aged </w:t>
            </w:r>
            <w:r w:rsidRPr="00953743">
              <w:rPr>
                <w:rFonts w:ascii="Arial" w:hAnsi="Arial" w:cs="Arial"/>
                <w:bCs/>
                <w:sz w:val="22"/>
                <w:szCs w:val="22"/>
              </w:rPr>
              <w:t xml:space="preserve">39, the couple </w:t>
            </w:r>
            <w:r w:rsidR="009C6F6B">
              <w:rPr>
                <w:rFonts w:ascii="Arial" w:hAnsi="Arial" w:cs="Arial"/>
                <w:bCs/>
                <w:sz w:val="22"/>
                <w:szCs w:val="22"/>
              </w:rPr>
              <w:t>is un</w:t>
            </w:r>
            <w:r w:rsidRPr="00953743">
              <w:rPr>
                <w:rFonts w:ascii="Arial" w:hAnsi="Arial" w:cs="Arial"/>
                <w:bCs/>
                <w:sz w:val="22"/>
                <w:szCs w:val="22"/>
              </w:rPr>
              <w:t xml:space="preserve">likely </w:t>
            </w:r>
            <w:r w:rsidR="009C6F6B">
              <w:rPr>
                <w:rFonts w:ascii="Arial" w:hAnsi="Arial" w:cs="Arial"/>
                <w:bCs/>
                <w:sz w:val="22"/>
                <w:szCs w:val="22"/>
              </w:rPr>
              <w:t xml:space="preserve">to </w:t>
            </w:r>
            <w:r w:rsidRPr="00953743">
              <w:rPr>
                <w:rFonts w:ascii="Arial" w:hAnsi="Arial" w:cs="Arial"/>
                <w:bCs/>
                <w:sz w:val="22"/>
                <w:szCs w:val="22"/>
              </w:rPr>
              <w:t xml:space="preserve">receive </w:t>
            </w:r>
            <w:r w:rsidR="009C6F6B">
              <w:rPr>
                <w:rFonts w:ascii="Arial" w:hAnsi="Arial" w:cs="Arial"/>
                <w:bCs/>
                <w:sz w:val="22"/>
                <w:szCs w:val="22"/>
              </w:rPr>
              <w:t xml:space="preserve">more than </w:t>
            </w:r>
            <w:r w:rsidRPr="00953743">
              <w:rPr>
                <w:rFonts w:ascii="Arial" w:hAnsi="Arial" w:cs="Arial"/>
                <w:bCs/>
                <w:sz w:val="22"/>
                <w:szCs w:val="22"/>
              </w:rPr>
              <w:t>one N</w:t>
            </w:r>
            <w:r>
              <w:rPr>
                <w:rFonts w:ascii="Arial" w:hAnsi="Arial" w:cs="Arial"/>
                <w:bCs/>
                <w:sz w:val="22"/>
                <w:szCs w:val="22"/>
              </w:rPr>
              <w:t>H</w:t>
            </w:r>
            <w:r w:rsidRPr="00953743">
              <w:rPr>
                <w:rFonts w:ascii="Arial" w:hAnsi="Arial" w:cs="Arial"/>
                <w:bCs/>
                <w:sz w:val="22"/>
                <w:szCs w:val="22"/>
              </w:rPr>
              <w:t xml:space="preserve">S </w:t>
            </w:r>
            <w:r w:rsidR="009C6F6B">
              <w:rPr>
                <w:rFonts w:ascii="Arial" w:hAnsi="Arial" w:cs="Arial"/>
                <w:bCs/>
                <w:sz w:val="22"/>
                <w:szCs w:val="22"/>
              </w:rPr>
              <w:t>funded</w:t>
            </w:r>
            <w:r w:rsidRPr="00953743">
              <w:rPr>
                <w:rFonts w:ascii="Arial" w:hAnsi="Arial" w:cs="Arial"/>
                <w:bCs/>
                <w:sz w:val="22"/>
                <w:szCs w:val="22"/>
              </w:rPr>
              <w:t xml:space="preserve"> cycle.</w:t>
            </w:r>
            <w:r>
              <w:rPr>
                <w:rFonts w:ascii="Arial" w:hAnsi="Arial" w:cs="Arial"/>
                <w:bCs/>
                <w:sz w:val="22"/>
                <w:szCs w:val="22"/>
              </w:rPr>
              <w:t xml:space="preserve"> Couples where </w:t>
            </w:r>
            <w:r w:rsidRPr="00953743">
              <w:rPr>
                <w:rFonts w:ascii="Arial" w:hAnsi="Arial" w:cs="Arial"/>
                <w:bCs/>
                <w:sz w:val="22"/>
                <w:szCs w:val="22"/>
              </w:rPr>
              <w:t xml:space="preserve">the </w:t>
            </w:r>
            <w:r w:rsidR="00FE65DE">
              <w:rPr>
                <w:rFonts w:ascii="Arial" w:hAnsi="Arial" w:cs="Arial"/>
                <w:bCs/>
                <w:sz w:val="22"/>
                <w:szCs w:val="22"/>
              </w:rPr>
              <w:t>intended birth mother</w:t>
            </w:r>
            <w:r w:rsidR="008F5D2D">
              <w:rPr>
                <w:rFonts w:ascii="Arial" w:hAnsi="Arial" w:cs="Arial"/>
                <w:bCs/>
                <w:sz w:val="22"/>
                <w:szCs w:val="22"/>
              </w:rPr>
              <w:t xml:space="preserve"> </w:t>
            </w:r>
            <w:r w:rsidRPr="00953743">
              <w:rPr>
                <w:rFonts w:ascii="Arial" w:hAnsi="Arial" w:cs="Arial"/>
                <w:bCs/>
                <w:sz w:val="22"/>
                <w:szCs w:val="22"/>
              </w:rPr>
              <w:t>is</w:t>
            </w:r>
            <w:r>
              <w:rPr>
                <w:rFonts w:ascii="Arial" w:hAnsi="Arial" w:cs="Arial"/>
                <w:bCs/>
                <w:sz w:val="22"/>
                <w:szCs w:val="22"/>
              </w:rPr>
              <w:t xml:space="preserve"> over the age of 42 years old will not be eligible for </w:t>
            </w:r>
            <w:r w:rsidR="009C6F6B">
              <w:rPr>
                <w:rFonts w:ascii="Arial" w:hAnsi="Arial" w:cs="Arial"/>
                <w:bCs/>
                <w:sz w:val="22"/>
                <w:szCs w:val="22"/>
              </w:rPr>
              <w:t xml:space="preserve">any </w:t>
            </w:r>
            <w:r>
              <w:rPr>
                <w:rFonts w:ascii="Arial" w:hAnsi="Arial" w:cs="Arial"/>
                <w:bCs/>
                <w:sz w:val="22"/>
                <w:szCs w:val="22"/>
              </w:rPr>
              <w:t xml:space="preserve">NHS funded treatment. </w:t>
            </w:r>
          </w:p>
        </w:tc>
      </w:tr>
      <w:tr w:rsidR="00616826" w14:paraId="0104B5E1" w14:textId="77777777" w:rsidTr="008159EB">
        <w:tc>
          <w:tcPr>
            <w:tcW w:w="2376" w:type="dxa"/>
          </w:tcPr>
          <w:p w14:paraId="51802DF3" w14:textId="77777777" w:rsidR="00616826" w:rsidRPr="001B4424" w:rsidRDefault="00616826" w:rsidP="00C959F3">
            <w:pPr>
              <w:pStyle w:val="CM1"/>
              <w:rPr>
                <w:rFonts w:ascii="Arial" w:hAnsi="Arial" w:cs="Arial"/>
                <w:b/>
                <w:bCs/>
                <w:sz w:val="22"/>
                <w:szCs w:val="22"/>
              </w:rPr>
            </w:pPr>
            <w:r>
              <w:rPr>
                <w:rFonts w:ascii="Arial" w:hAnsi="Arial" w:cs="Arial"/>
                <w:b/>
                <w:bCs/>
                <w:sz w:val="22"/>
                <w:szCs w:val="22"/>
              </w:rPr>
              <w:t>Previous treatment</w:t>
            </w:r>
          </w:p>
        </w:tc>
        <w:tc>
          <w:tcPr>
            <w:tcW w:w="7473" w:type="dxa"/>
          </w:tcPr>
          <w:p w14:paraId="3D6FB1CC" w14:textId="77777777" w:rsidR="00616826" w:rsidRPr="0059476C" w:rsidRDefault="00616826" w:rsidP="0059476C">
            <w:pPr>
              <w:ind w:left="176"/>
              <w:rPr>
                <w:rFonts w:ascii="Arial" w:hAnsi="Arial" w:cs="Arial"/>
                <w:color w:val="000000"/>
                <w:sz w:val="22"/>
                <w:szCs w:val="22"/>
              </w:rPr>
            </w:pPr>
            <w:r w:rsidRPr="00953743">
              <w:rPr>
                <w:rFonts w:ascii="Arial" w:hAnsi="Arial" w:cs="Arial"/>
                <w:color w:val="000000"/>
                <w:sz w:val="22"/>
                <w:szCs w:val="22"/>
              </w:rPr>
              <w:t>All frozen embryos stored in any centre in the UK must be used before NHS treatment can commence.</w:t>
            </w:r>
          </w:p>
        </w:tc>
      </w:tr>
      <w:tr w:rsidR="00387002" w14:paraId="58D2E388" w14:textId="77777777" w:rsidTr="008159EB">
        <w:tc>
          <w:tcPr>
            <w:tcW w:w="2376" w:type="dxa"/>
          </w:tcPr>
          <w:p w14:paraId="2CC23941" w14:textId="77777777" w:rsidR="00387002" w:rsidRDefault="00387002" w:rsidP="00C959F3">
            <w:pPr>
              <w:rPr>
                <w:lang w:eastAsia="en-GB"/>
              </w:rPr>
            </w:pPr>
            <w:r w:rsidRPr="0031027F">
              <w:rPr>
                <w:rFonts w:ascii="Arial" w:hAnsi="Arial" w:cs="Arial"/>
                <w:b/>
                <w:bCs/>
                <w:sz w:val="22"/>
                <w:szCs w:val="22"/>
                <w:lang w:eastAsia="en-GB"/>
              </w:rPr>
              <w:t>Welfare of the Child</w:t>
            </w:r>
          </w:p>
        </w:tc>
        <w:tc>
          <w:tcPr>
            <w:tcW w:w="7473" w:type="dxa"/>
          </w:tcPr>
          <w:p w14:paraId="321B3527" w14:textId="77777777" w:rsidR="00387002" w:rsidRPr="0031027F" w:rsidRDefault="00387002" w:rsidP="00C959F3">
            <w:pPr>
              <w:spacing w:line="276" w:lineRule="auto"/>
              <w:ind w:left="360" w:hanging="184"/>
              <w:rPr>
                <w:rFonts w:ascii="Arial" w:hAnsi="Arial" w:cs="Arial"/>
                <w:bCs/>
                <w:sz w:val="22"/>
                <w:szCs w:val="22"/>
              </w:rPr>
            </w:pPr>
            <w:r w:rsidRPr="0031027F">
              <w:rPr>
                <w:rFonts w:ascii="Arial" w:hAnsi="Arial" w:cs="Arial"/>
                <w:bCs/>
                <w:sz w:val="22"/>
                <w:szCs w:val="22"/>
              </w:rPr>
              <w:t>Satisfy the requirements Welfare of the Child Assessment</w:t>
            </w:r>
            <w:r w:rsidR="00FE65DE">
              <w:rPr>
                <w:rFonts w:ascii="Arial" w:hAnsi="Arial" w:cs="Arial"/>
                <w:bCs/>
                <w:sz w:val="22"/>
                <w:szCs w:val="22"/>
              </w:rPr>
              <w:t>.</w:t>
            </w:r>
          </w:p>
        </w:tc>
      </w:tr>
    </w:tbl>
    <w:p w14:paraId="2D6FD01B" w14:textId="77777777" w:rsidR="00387002" w:rsidRDefault="00387002" w:rsidP="00F9794B">
      <w:pPr>
        <w:pStyle w:val="CM1"/>
        <w:rPr>
          <w:rFonts w:ascii="Arial" w:hAnsi="Arial" w:cs="Arial"/>
          <w:b/>
          <w:bCs/>
          <w:sz w:val="22"/>
          <w:szCs w:val="22"/>
        </w:rPr>
      </w:pPr>
    </w:p>
    <w:p w14:paraId="59BB68D5" w14:textId="77777777" w:rsidR="0059476C" w:rsidRDefault="00F9794B" w:rsidP="00F9794B">
      <w:pPr>
        <w:pStyle w:val="CM1"/>
        <w:rPr>
          <w:rFonts w:ascii="Arial" w:hAnsi="Arial" w:cs="Arial"/>
          <w:bCs/>
          <w:sz w:val="22"/>
          <w:szCs w:val="22"/>
        </w:rPr>
      </w:pPr>
      <w:r w:rsidRPr="00953743">
        <w:rPr>
          <w:rFonts w:ascii="Arial" w:hAnsi="Arial" w:cs="Arial"/>
          <w:b/>
          <w:bCs/>
          <w:sz w:val="22"/>
          <w:szCs w:val="22"/>
        </w:rPr>
        <w:t>What is the ‘welfare of the child’ assessment?</w:t>
      </w:r>
      <w:r w:rsidRPr="00953743">
        <w:rPr>
          <w:rFonts w:ascii="Arial" w:hAnsi="Arial" w:cs="Arial"/>
          <w:b/>
          <w:bCs/>
          <w:sz w:val="22"/>
          <w:szCs w:val="22"/>
        </w:rPr>
        <w:br/>
      </w:r>
      <w:r w:rsidRPr="00953743">
        <w:rPr>
          <w:rFonts w:ascii="Arial" w:hAnsi="Arial" w:cs="Arial"/>
          <w:bCs/>
          <w:sz w:val="22"/>
          <w:szCs w:val="22"/>
        </w:rPr>
        <w:t>During a patient’s first consultation at a fertility clinic, their doctor will ask them a number of questions about their medical history to determine the best course of treatment for them. The doctor will also ask the patient a series of questions relating to their social circumstances in person or by asking them to complete a questionnaire.</w:t>
      </w:r>
    </w:p>
    <w:p w14:paraId="05B192B1" w14:textId="77777777" w:rsidR="00F9794B" w:rsidRPr="00953743" w:rsidRDefault="00F9794B" w:rsidP="00F9794B">
      <w:pPr>
        <w:pStyle w:val="CM1"/>
        <w:rPr>
          <w:rFonts w:ascii="Arial" w:hAnsi="Arial" w:cs="Arial"/>
          <w:bCs/>
          <w:sz w:val="22"/>
          <w:szCs w:val="22"/>
        </w:rPr>
      </w:pPr>
      <w:r w:rsidRPr="00953743">
        <w:rPr>
          <w:rFonts w:ascii="Arial" w:hAnsi="Arial" w:cs="Arial"/>
          <w:bCs/>
          <w:sz w:val="22"/>
          <w:szCs w:val="22"/>
        </w:rPr>
        <w:lastRenderedPageBreak/>
        <w:br/>
        <w:t xml:space="preserve">These questions are part of an assessment, known as the </w:t>
      </w:r>
      <w:r w:rsidRPr="00953743">
        <w:rPr>
          <w:rFonts w:ascii="Arial" w:hAnsi="Arial" w:cs="Arial"/>
          <w:bCs/>
          <w:sz w:val="22"/>
          <w:szCs w:val="22"/>
          <w:u w:val="single"/>
        </w:rPr>
        <w:t>welfare of the child assessment</w:t>
      </w:r>
      <w:r w:rsidRPr="00953743">
        <w:rPr>
          <w:rFonts w:ascii="Arial" w:hAnsi="Arial" w:cs="Arial"/>
          <w:bCs/>
          <w:sz w:val="22"/>
          <w:szCs w:val="22"/>
        </w:rPr>
        <w:t xml:space="preserve">, which </w:t>
      </w:r>
      <w:r w:rsidR="008F69AD" w:rsidRPr="008F69AD">
        <w:rPr>
          <w:rFonts w:ascii="Arial" w:hAnsi="Arial" w:cs="Arial"/>
          <w:bCs/>
          <w:sz w:val="22"/>
          <w:szCs w:val="22"/>
        </w:rPr>
        <w:t>clinics are required</w:t>
      </w:r>
      <w:r w:rsidRPr="00953743">
        <w:rPr>
          <w:rFonts w:ascii="Arial" w:hAnsi="Arial" w:cs="Arial"/>
          <w:bCs/>
          <w:sz w:val="22"/>
          <w:szCs w:val="22"/>
        </w:rPr>
        <w:t xml:space="preserve"> to perform in order to determine whether the prospective child is likely to face serious medical, </w:t>
      </w:r>
      <w:proofErr w:type="gramStart"/>
      <w:r w:rsidRPr="00953743">
        <w:rPr>
          <w:rFonts w:ascii="Arial" w:hAnsi="Arial" w:cs="Arial"/>
          <w:bCs/>
          <w:sz w:val="22"/>
          <w:szCs w:val="22"/>
        </w:rPr>
        <w:t>physical</w:t>
      </w:r>
      <w:proofErr w:type="gramEnd"/>
      <w:r w:rsidRPr="00953743">
        <w:rPr>
          <w:rFonts w:ascii="Arial" w:hAnsi="Arial" w:cs="Arial"/>
          <w:bCs/>
          <w:sz w:val="22"/>
          <w:szCs w:val="22"/>
        </w:rPr>
        <w:t xml:space="preserve"> or psychological harm.</w:t>
      </w:r>
    </w:p>
    <w:p w14:paraId="08554594" w14:textId="77777777" w:rsidR="00F9794B" w:rsidRPr="00953743" w:rsidRDefault="00F9794B" w:rsidP="00F9794B">
      <w:pPr>
        <w:rPr>
          <w:sz w:val="22"/>
          <w:szCs w:val="22"/>
          <w:lang w:eastAsia="en-GB"/>
        </w:rPr>
      </w:pPr>
    </w:p>
    <w:p w14:paraId="4A5AF7DC" w14:textId="77777777" w:rsidR="00FF751C" w:rsidRPr="00953743" w:rsidRDefault="00FF751C" w:rsidP="00FF751C">
      <w:pPr>
        <w:pStyle w:val="CM1"/>
        <w:rPr>
          <w:rFonts w:ascii="Arial" w:hAnsi="Arial" w:cs="Arial"/>
          <w:sz w:val="22"/>
          <w:szCs w:val="22"/>
        </w:rPr>
      </w:pPr>
      <w:r w:rsidRPr="00953743">
        <w:rPr>
          <w:rFonts w:ascii="Arial" w:hAnsi="Arial" w:cs="Arial"/>
          <w:b/>
          <w:bCs/>
          <w:sz w:val="22"/>
          <w:szCs w:val="22"/>
        </w:rPr>
        <w:t xml:space="preserve">Definition of one full cycle of IVF </w:t>
      </w:r>
    </w:p>
    <w:p w14:paraId="1EE39C80" w14:textId="5FA2ECB6" w:rsidR="00FF751C" w:rsidRPr="00953743" w:rsidRDefault="00FF751C" w:rsidP="00FF751C">
      <w:pPr>
        <w:pStyle w:val="CM10"/>
        <w:spacing w:line="253" w:lineRule="atLeast"/>
        <w:rPr>
          <w:rFonts w:ascii="Arial" w:hAnsi="Arial" w:cs="Arial"/>
          <w:color w:val="000000"/>
          <w:sz w:val="22"/>
          <w:szCs w:val="22"/>
        </w:rPr>
      </w:pPr>
      <w:r w:rsidRPr="00953743">
        <w:rPr>
          <w:rFonts w:ascii="Arial" w:hAnsi="Arial" w:cs="Arial"/>
          <w:color w:val="000000"/>
          <w:sz w:val="22"/>
          <w:szCs w:val="22"/>
        </w:rPr>
        <w:t>One fresh cycle includes ov</w:t>
      </w:r>
      <w:r w:rsidR="009C6F6B">
        <w:rPr>
          <w:rFonts w:ascii="Arial" w:hAnsi="Arial" w:cs="Arial"/>
          <w:color w:val="000000"/>
          <w:sz w:val="22"/>
          <w:szCs w:val="22"/>
        </w:rPr>
        <w:t>arian</w:t>
      </w:r>
      <w:r w:rsidR="00E07B5B">
        <w:rPr>
          <w:rFonts w:ascii="Arial" w:hAnsi="Arial" w:cs="Arial"/>
          <w:color w:val="000000"/>
          <w:sz w:val="22"/>
          <w:szCs w:val="22"/>
        </w:rPr>
        <w:t xml:space="preserve"> </w:t>
      </w:r>
      <w:r w:rsidR="009C6F6B">
        <w:rPr>
          <w:rFonts w:ascii="Arial" w:hAnsi="Arial" w:cs="Arial"/>
          <w:color w:val="000000"/>
          <w:sz w:val="22"/>
          <w:szCs w:val="22"/>
        </w:rPr>
        <w:t>stimulation</w:t>
      </w:r>
      <w:r w:rsidR="007469E8">
        <w:rPr>
          <w:rFonts w:ascii="Arial" w:hAnsi="Arial" w:cs="Arial"/>
          <w:color w:val="000000"/>
          <w:sz w:val="22"/>
          <w:szCs w:val="22"/>
        </w:rPr>
        <w:t xml:space="preserve">, egg retrieval, </w:t>
      </w:r>
      <w:r w:rsidR="00411FF5">
        <w:rPr>
          <w:rFonts w:ascii="Arial" w:hAnsi="Arial" w:cs="Arial"/>
          <w:color w:val="000000"/>
          <w:sz w:val="22"/>
          <w:szCs w:val="22"/>
        </w:rPr>
        <w:t>fertilisation,</w:t>
      </w:r>
      <w:r w:rsidR="00E07B5B">
        <w:rPr>
          <w:rFonts w:ascii="Arial" w:hAnsi="Arial" w:cs="Arial"/>
          <w:color w:val="000000"/>
          <w:sz w:val="22"/>
          <w:szCs w:val="22"/>
        </w:rPr>
        <w:t xml:space="preserve"> </w:t>
      </w:r>
      <w:r w:rsidR="00964CBA" w:rsidRPr="00953743">
        <w:rPr>
          <w:rFonts w:ascii="Arial" w:hAnsi="Arial" w:cs="Arial"/>
          <w:color w:val="000000"/>
          <w:sz w:val="22"/>
          <w:szCs w:val="22"/>
        </w:rPr>
        <w:t>and transfer</w:t>
      </w:r>
      <w:r w:rsidRPr="00953743">
        <w:rPr>
          <w:rFonts w:ascii="Arial" w:hAnsi="Arial" w:cs="Arial"/>
          <w:color w:val="000000"/>
          <w:sz w:val="22"/>
          <w:szCs w:val="22"/>
        </w:rPr>
        <w:t xml:space="preserve"> of fresh embryo</w:t>
      </w:r>
      <w:r w:rsidR="009C6F6B">
        <w:rPr>
          <w:rFonts w:ascii="Arial" w:hAnsi="Arial" w:cs="Arial"/>
          <w:color w:val="000000"/>
          <w:sz w:val="22"/>
          <w:szCs w:val="22"/>
        </w:rPr>
        <w:t xml:space="preserve"> (if appropriate)</w:t>
      </w:r>
      <w:r w:rsidR="00C91D3E">
        <w:rPr>
          <w:rFonts w:ascii="Arial" w:hAnsi="Arial" w:cs="Arial"/>
          <w:color w:val="000000"/>
          <w:sz w:val="22"/>
          <w:szCs w:val="22"/>
        </w:rPr>
        <w:t>,</w:t>
      </w:r>
      <w:r w:rsidRPr="00953743">
        <w:rPr>
          <w:rFonts w:ascii="Arial" w:hAnsi="Arial" w:cs="Arial"/>
          <w:color w:val="000000"/>
          <w:sz w:val="22"/>
          <w:szCs w:val="22"/>
        </w:rPr>
        <w:t xml:space="preserve"> followed by the freezing of suitable embryos and the subsequent replace</w:t>
      </w:r>
      <w:r w:rsidR="009C6F6B">
        <w:rPr>
          <w:rFonts w:ascii="Arial" w:hAnsi="Arial" w:cs="Arial"/>
          <w:color w:val="000000"/>
          <w:sz w:val="22"/>
          <w:szCs w:val="22"/>
        </w:rPr>
        <w:t>ment</w:t>
      </w:r>
      <w:r w:rsidRPr="00953743">
        <w:rPr>
          <w:rFonts w:ascii="Arial" w:hAnsi="Arial" w:cs="Arial"/>
          <w:color w:val="000000"/>
          <w:sz w:val="22"/>
          <w:szCs w:val="22"/>
        </w:rPr>
        <w:t xml:space="preserve"> of these, provided the couple still fulfil all access criteria. If suitable embryos are frozen these </w:t>
      </w:r>
      <w:r w:rsidR="009C6F6B">
        <w:rPr>
          <w:rFonts w:ascii="Arial" w:hAnsi="Arial" w:cs="Arial"/>
          <w:color w:val="000000"/>
          <w:sz w:val="22"/>
          <w:szCs w:val="22"/>
        </w:rPr>
        <w:t>must</w:t>
      </w:r>
      <w:r w:rsidRPr="00953743">
        <w:rPr>
          <w:rFonts w:ascii="Arial" w:hAnsi="Arial" w:cs="Arial"/>
          <w:color w:val="000000"/>
          <w:sz w:val="22"/>
          <w:szCs w:val="22"/>
        </w:rPr>
        <w:t xml:space="preserve"> be transferred before the next </w:t>
      </w:r>
      <w:r w:rsidR="009C6F6B">
        <w:rPr>
          <w:rFonts w:ascii="Arial" w:hAnsi="Arial" w:cs="Arial"/>
          <w:color w:val="000000"/>
          <w:sz w:val="22"/>
          <w:szCs w:val="22"/>
        </w:rPr>
        <w:t xml:space="preserve">NHS funded </w:t>
      </w:r>
      <w:r w:rsidRPr="00953743">
        <w:rPr>
          <w:rFonts w:ascii="Arial" w:hAnsi="Arial" w:cs="Arial"/>
          <w:color w:val="000000"/>
          <w:sz w:val="22"/>
          <w:szCs w:val="22"/>
        </w:rPr>
        <w:t xml:space="preserve">stimulated treatment cycle. </w:t>
      </w:r>
    </w:p>
    <w:p w14:paraId="1CF78B5B" w14:textId="77777777" w:rsidR="00FF751C" w:rsidRPr="00953743" w:rsidRDefault="00FF751C" w:rsidP="00FF751C">
      <w:pPr>
        <w:rPr>
          <w:rFonts w:ascii="Arial" w:hAnsi="Arial" w:cs="Arial"/>
          <w:sz w:val="22"/>
          <w:szCs w:val="22"/>
        </w:rPr>
      </w:pPr>
    </w:p>
    <w:p w14:paraId="5FA9E604" w14:textId="77777777" w:rsidR="00FF751C" w:rsidRPr="00953743" w:rsidRDefault="00FF751C" w:rsidP="00FF751C">
      <w:pPr>
        <w:pStyle w:val="CM10"/>
        <w:spacing w:line="253" w:lineRule="atLeast"/>
        <w:rPr>
          <w:rFonts w:ascii="Arial" w:hAnsi="Arial" w:cs="Arial"/>
          <w:color w:val="000000"/>
          <w:sz w:val="22"/>
          <w:szCs w:val="22"/>
        </w:rPr>
      </w:pPr>
      <w:r w:rsidRPr="00953743">
        <w:rPr>
          <w:rFonts w:ascii="Arial" w:hAnsi="Arial" w:cs="Arial"/>
          <w:color w:val="000000"/>
          <w:sz w:val="22"/>
          <w:szCs w:val="22"/>
        </w:rPr>
        <w:t xml:space="preserve">No individual can access more than the </w:t>
      </w:r>
      <w:r w:rsidR="003C1AA7">
        <w:rPr>
          <w:rFonts w:ascii="Arial" w:hAnsi="Arial" w:cs="Arial"/>
          <w:color w:val="000000"/>
          <w:sz w:val="22"/>
          <w:szCs w:val="22"/>
        </w:rPr>
        <w:t xml:space="preserve">maximum </w:t>
      </w:r>
      <w:r w:rsidRPr="00953743">
        <w:rPr>
          <w:rFonts w:ascii="Arial" w:hAnsi="Arial" w:cs="Arial"/>
          <w:color w:val="000000"/>
          <w:sz w:val="22"/>
          <w:szCs w:val="22"/>
        </w:rPr>
        <w:t xml:space="preserve">number of NHS funded IVF treatment cycles supported by NHS Scotland under any circumstances, even if they are in a new relationship. </w:t>
      </w:r>
    </w:p>
    <w:p w14:paraId="13EA1DFE" w14:textId="77777777" w:rsidR="00FF751C" w:rsidRPr="00953743" w:rsidRDefault="00FF751C" w:rsidP="00FF751C">
      <w:pPr>
        <w:pStyle w:val="Default"/>
        <w:rPr>
          <w:rFonts w:ascii="Arial" w:hAnsi="Arial" w:cs="Arial"/>
          <w:sz w:val="22"/>
          <w:szCs w:val="22"/>
        </w:rPr>
      </w:pPr>
    </w:p>
    <w:p w14:paraId="178D5A64" w14:textId="4F6C8EB1" w:rsidR="00F9794B" w:rsidRPr="00953743" w:rsidRDefault="00F9794B" w:rsidP="00FF751C">
      <w:pPr>
        <w:pStyle w:val="Default"/>
        <w:rPr>
          <w:rFonts w:ascii="Arial" w:hAnsi="Arial" w:cs="Arial"/>
          <w:b/>
          <w:bCs/>
          <w:color w:val="auto"/>
          <w:sz w:val="22"/>
          <w:szCs w:val="22"/>
        </w:rPr>
      </w:pPr>
      <w:r w:rsidRPr="00953743">
        <w:rPr>
          <w:rFonts w:ascii="Arial" w:hAnsi="Arial" w:cs="Arial"/>
          <w:b/>
          <w:bCs/>
          <w:color w:val="auto"/>
          <w:sz w:val="22"/>
          <w:szCs w:val="22"/>
        </w:rPr>
        <w:t>Single embryo transfer</w:t>
      </w:r>
      <w:r w:rsidRPr="00953743">
        <w:rPr>
          <w:rFonts w:ascii="Arial" w:hAnsi="Arial" w:cs="Arial"/>
          <w:b/>
          <w:bCs/>
          <w:color w:val="auto"/>
          <w:sz w:val="22"/>
          <w:szCs w:val="22"/>
        </w:rPr>
        <w:br/>
      </w:r>
      <w:r w:rsidRPr="00953743">
        <w:rPr>
          <w:rFonts w:ascii="Arial" w:hAnsi="Arial" w:cs="Arial"/>
          <w:bCs/>
          <w:color w:val="auto"/>
          <w:sz w:val="22"/>
          <w:szCs w:val="22"/>
        </w:rPr>
        <w:t xml:space="preserve">Patients with good prognosis are always expected to have single embryo </w:t>
      </w:r>
      <w:r w:rsidR="00964CBA" w:rsidRPr="00953743">
        <w:rPr>
          <w:rFonts w:ascii="Arial" w:hAnsi="Arial" w:cs="Arial"/>
          <w:bCs/>
          <w:color w:val="auto"/>
          <w:sz w:val="22"/>
          <w:szCs w:val="22"/>
        </w:rPr>
        <w:t>transfer</w:t>
      </w:r>
      <w:r w:rsidRPr="00953743">
        <w:rPr>
          <w:rFonts w:ascii="Arial" w:hAnsi="Arial" w:cs="Arial"/>
          <w:bCs/>
          <w:color w:val="auto"/>
          <w:sz w:val="22"/>
          <w:szCs w:val="22"/>
        </w:rPr>
        <w:t xml:space="preserve"> and this will be discussed with</w:t>
      </w:r>
      <w:r w:rsidR="00AC7EDD" w:rsidRPr="00953743">
        <w:rPr>
          <w:rFonts w:ascii="Arial" w:hAnsi="Arial" w:cs="Arial"/>
          <w:bCs/>
          <w:color w:val="auto"/>
          <w:sz w:val="22"/>
          <w:szCs w:val="22"/>
        </w:rPr>
        <w:t xml:space="preserve"> patients at clinic appointments. The single biggest risk of fertility treatment is </w:t>
      </w:r>
      <w:r w:rsidR="00616826">
        <w:rPr>
          <w:rFonts w:ascii="Arial" w:hAnsi="Arial" w:cs="Arial"/>
          <w:bCs/>
          <w:color w:val="auto"/>
          <w:sz w:val="22"/>
          <w:szCs w:val="22"/>
        </w:rPr>
        <w:t xml:space="preserve">a </w:t>
      </w:r>
      <w:r w:rsidR="00AC7EDD" w:rsidRPr="00953743">
        <w:rPr>
          <w:rFonts w:ascii="Arial" w:hAnsi="Arial" w:cs="Arial"/>
          <w:bCs/>
          <w:color w:val="auto"/>
          <w:sz w:val="22"/>
          <w:szCs w:val="22"/>
        </w:rPr>
        <w:t xml:space="preserve">multiple pregnancy. Further information can be downloaded from the information section of the Fertility Network </w:t>
      </w:r>
      <w:r w:rsidR="00616826">
        <w:rPr>
          <w:rFonts w:ascii="Arial" w:hAnsi="Arial" w:cs="Arial"/>
          <w:bCs/>
          <w:color w:val="auto"/>
          <w:sz w:val="22"/>
          <w:szCs w:val="22"/>
        </w:rPr>
        <w:t xml:space="preserve">UK </w:t>
      </w:r>
      <w:r w:rsidR="00AC7EDD" w:rsidRPr="00953743">
        <w:rPr>
          <w:rFonts w:ascii="Arial" w:hAnsi="Arial" w:cs="Arial"/>
          <w:bCs/>
          <w:color w:val="auto"/>
          <w:sz w:val="22"/>
          <w:szCs w:val="22"/>
        </w:rPr>
        <w:t>website or ask staff at your clinic for a copy of Fertility Network’s leaflet.</w:t>
      </w:r>
      <w:r w:rsidR="00AC7EDD" w:rsidRPr="00953743">
        <w:rPr>
          <w:rFonts w:ascii="Arial" w:hAnsi="Arial" w:cs="Arial"/>
          <w:bCs/>
          <w:color w:val="auto"/>
          <w:sz w:val="22"/>
          <w:szCs w:val="22"/>
        </w:rPr>
        <w:br/>
      </w:r>
      <w:r w:rsidR="00AC7EDD" w:rsidRPr="00953743">
        <w:rPr>
          <w:rFonts w:ascii="Arial" w:hAnsi="Arial" w:cs="Arial"/>
          <w:bCs/>
          <w:color w:val="auto"/>
          <w:sz w:val="22"/>
          <w:szCs w:val="22"/>
        </w:rPr>
        <w:br/>
      </w:r>
      <w:r w:rsidR="008514C4" w:rsidRPr="008514C4">
        <w:rPr>
          <w:rFonts w:ascii="Arial" w:hAnsi="Arial" w:cs="Arial"/>
          <w:b/>
          <w:bCs/>
          <w:sz w:val="22"/>
          <w:szCs w:val="22"/>
        </w:rPr>
        <w:t xml:space="preserve">Number of Cycles initiated by the date of the </w:t>
      </w:r>
      <w:r w:rsidR="00002117" w:rsidRPr="00002117">
        <w:rPr>
          <w:rFonts w:ascii="Arial" w:hAnsi="Arial" w:cs="Arial"/>
          <w:b/>
          <w:bCs/>
          <w:sz w:val="22"/>
          <w:szCs w:val="22"/>
        </w:rPr>
        <w:t>intended birth mother</w:t>
      </w:r>
      <w:r w:rsidR="008514C4" w:rsidRPr="008514C4">
        <w:rPr>
          <w:rFonts w:ascii="Arial" w:hAnsi="Arial" w:cs="Arial"/>
          <w:b/>
          <w:bCs/>
          <w:sz w:val="22"/>
          <w:szCs w:val="22"/>
        </w:rPr>
        <w:t>’s 40</w:t>
      </w:r>
      <w:r w:rsidR="00E77140" w:rsidRPr="00E77140">
        <w:rPr>
          <w:rFonts w:ascii="Arial" w:hAnsi="Arial" w:cs="Arial"/>
          <w:b/>
          <w:bCs/>
          <w:sz w:val="22"/>
          <w:szCs w:val="22"/>
          <w:vertAlign w:val="superscript"/>
        </w:rPr>
        <w:t>th</w:t>
      </w:r>
      <w:r w:rsidR="00E77140">
        <w:rPr>
          <w:rFonts w:ascii="Arial" w:hAnsi="Arial" w:cs="Arial"/>
          <w:b/>
          <w:bCs/>
          <w:sz w:val="22"/>
          <w:szCs w:val="22"/>
        </w:rPr>
        <w:t xml:space="preserve"> </w:t>
      </w:r>
      <w:r w:rsidR="008514C4" w:rsidRPr="008514C4">
        <w:rPr>
          <w:rFonts w:ascii="Arial" w:hAnsi="Arial" w:cs="Arial"/>
          <w:b/>
          <w:bCs/>
          <w:sz w:val="22"/>
          <w:szCs w:val="22"/>
        </w:rPr>
        <w:t>Birthday</w:t>
      </w:r>
    </w:p>
    <w:p w14:paraId="24D15BE3" w14:textId="77777777" w:rsidR="00C959F3" w:rsidRPr="00953743" w:rsidRDefault="00AC7EDD" w:rsidP="00FF751C">
      <w:pPr>
        <w:pStyle w:val="Default"/>
        <w:rPr>
          <w:rFonts w:ascii="Arial" w:hAnsi="Arial" w:cs="Arial"/>
          <w:bCs/>
          <w:color w:val="auto"/>
          <w:sz w:val="22"/>
          <w:szCs w:val="22"/>
        </w:rPr>
      </w:pPr>
      <w:r w:rsidRPr="00953743">
        <w:rPr>
          <w:rFonts w:ascii="Arial" w:hAnsi="Arial" w:cs="Arial"/>
          <w:bCs/>
          <w:color w:val="auto"/>
          <w:sz w:val="22"/>
          <w:szCs w:val="22"/>
        </w:rPr>
        <w:t>Up to t</w:t>
      </w:r>
      <w:r w:rsidR="007D7879">
        <w:rPr>
          <w:rFonts w:ascii="Arial" w:hAnsi="Arial" w:cs="Arial"/>
          <w:bCs/>
          <w:color w:val="auto"/>
          <w:sz w:val="22"/>
          <w:szCs w:val="22"/>
        </w:rPr>
        <w:t>hree</w:t>
      </w:r>
      <w:r w:rsidRPr="00953743">
        <w:rPr>
          <w:rFonts w:ascii="Arial" w:hAnsi="Arial" w:cs="Arial"/>
          <w:bCs/>
          <w:color w:val="auto"/>
          <w:sz w:val="22"/>
          <w:szCs w:val="22"/>
        </w:rPr>
        <w:t xml:space="preserve"> cycles of IVF/ICSI may be undertaken where there is a reasonable expectation of a live birth. Clinical judgement </w:t>
      </w:r>
      <w:r w:rsidR="00FE65DE">
        <w:rPr>
          <w:rFonts w:ascii="Arial" w:hAnsi="Arial" w:cs="Arial"/>
          <w:bCs/>
          <w:color w:val="auto"/>
          <w:sz w:val="22"/>
          <w:szCs w:val="22"/>
        </w:rPr>
        <w:t>will</w:t>
      </w:r>
      <w:r w:rsidR="00FC7058">
        <w:rPr>
          <w:rFonts w:ascii="Arial" w:hAnsi="Arial" w:cs="Arial"/>
          <w:bCs/>
          <w:color w:val="auto"/>
          <w:sz w:val="22"/>
          <w:szCs w:val="22"/>
        </w:rPr>
        <w:t xml:space="preserve"> </w:t>
      </w:r>
      <w:r w:rsidRPr="00953743">
        <w:rPr>
          <w:rFonts w:ascii="Arial" w:hAnsi="Arial" w:cs="Arial"/>
          <w:bCs/>
          <w:color w:val="auto"/>
          <w:sz w:val="22"/>
          <w:szCs w:val="22"/>
        </w:rPr>
        <w:t xml:space="preserve">be applied to determine this, using an assessment of ovarian reserve before the first cycle. </w:t>
      </w:r>
      <w:r w:rsidR="00C959F3" w:rsidRPr="00953743">
        <w:rPr>
          <w:rFonts w:ascii="Arial" w:hAnsi="Arial" w:cs="Arial"/>
          <w:bCs/>
          <w:color w:val="auto"/>
          <w:sz w:val="22"/>
          <w:szCs w:val="22"/>
        </w:rPr>
        <w:t xml:space="preserve">If </w:t>
      </w:r>
      <w:r w:rsidR="00C959F3">
        <w:rPr>
          <w:rFonts w:ascii="Arial" w:hAnsi="Arial" w:cs="Arial"/>
          <w:bCs/>
          <w:color w:val="auto"/>
          <w:sz w:val="22"/>
          <w:szCs w:val="22"/>
        </w:rPr>
        <w:t xml:space="preserve">less than </w:t>
      </w:r>
      <w:r w:rsidRPr="00953743">
        <w:rPr>
          <w:rFonts w:ascii="Arial" w:hAnsi="Arial" w:cs="Arial"/>
          <w:bCs/>
          <w:color w:val="auto"/>
          <w:sz w:val="22"/>
          <w:szCs w:val="22"/>
        </w:rPr>
        <w:t xml:space="preserve">3 eggs </w:t>
      </w:r>
      <w:r w:rsidR="00C959F3">
        <w:rPr>
          <w:rFonts w:ascii="Arial" w:hAnsi="Arial" w:cs="Arial"/>
          <w:bCs/>
          <w:color w:val="auto"/>
          <w:sz w:val="22"/>
          <w:szCs w:val="22"/>
        </w:rPr>
        <w:t xml:space="preserve">are </w:t>
      </w:r>
      <w:r w:rsidRPr="00953743">
        <w:rPr>
          <w:rFonts w:ascii="Arial" w:hAnsi="Arial" w:cs="Arial"/>
          <w:bCs/>
          <w:color w:val="auto"/>
          <w:sz w:val="22"/>
          <w:szCs w:val="22"/>
        </w:rPr>
        <w:t>retrieved</w:t>
      </w:r>
      <w:r w:rsidR="00C959F3">
        <w:rPr>
          <w:rFonts w:ascii="Arial" w:hAnsi="Arial" w:cs="Arial"/>
          <w:bCs/>
          <w:color w:val="auto"/>
          <w:sz w:val="22"/>
          <w:szCs w:val="22"/>
        </w:rPr>
        <w:t xml:space="preserve"> in a cycle</w:t>
      </w:r>
      <w:r w:rsidR="00FE65DE">
        <w:rPr>
          <w:rFonts w:ascii="Arial" w:hAnsi="Arial" w:cs="Arial"/>
          <w:bCs/>
          <w:color w:val="auto"/>
          <w:sz w:val="22"/>
          <w:szCs w:val="22"/>
        </w:rPr>
        <w:t>,</w:t>
      </w:r>
      <w:r w:rsidRPr="00953743">
        <w:rPr>
          <w:rFonts w:ascii="Arial" w:hAnsi="Arial" w:cs="Arial"/>
          <w:bCs/>
          <w:color w:val="auto"/>
          <w:sz w:val="22"/>
          <w:szCs w:val="22"/>
        </w:rPr>
        <w:t xml:space="preserve"> no further IVF/ICSI </w:t>
      </w:r>
      <w:r w:rsidR="00C959F3">
        <w:rPr>
          <w:rFonts w:ascii="Arial" w:hAnsi="Arial" w:cs="Arial"/>
          <w:bCs/>
          <w:color w:val="auto"/>
          <w:sz w:val="22"/>
          <w:szCs w:val="22"/>
        </w:rPr>
        <w:t xml:space="preserve">treatment will </w:t>
      </w:r>
      <w:r w:rsidRPr="00953743">
        <w:rPr>
          <w:rFonts w:ascii="Arial" w:hAnsi="Arial" w:cs="Arial"/>
          <w:bCs/>
          <w:color w:val="auto"/>
          <w:sz w:val="22"/>
          <w:szCs w:val="22"/>
        </w:rPr>
        <w:t>be funded.</w:t>
      </w:r>
      <w:r w:rsidRPr="00953743">
        <w:rPr>
          <w:rFonts w:ascii="Arial" w:hAnsi="Arial" w:cs="Arial"/>
          <w:bCs/>
          <w:color w:val="auto"/>
          <w:sz w:val="22"/>
          <w:szCs w:val="22"/>
        </w:rPr>
        <w:br/>
      </w:r>
    </w:p>
    <w:p w14:paraId="0EBED7BA" w14:textId="77777777" w:rsidR="0059476C" w:rsidRDefault="00AC7EDD" w:rsidP="0059476C">
      <w:pPr>
        <w:pStyle w:val="Default"/>
        <w:rPr>
          <w:rFonts w:ascii="Arial" w:hAnsi="Arial" w:cs="Arial"/>
          <w:bCs/>
          <w:color w:val="auto"/>
          <w:sz w:val="22"/>
          <w:szCs w:val="22"/>
        </w:rPr>
      </w:pPr>
      <w:r w:rsidRPr="00953743">
        <w:rPr>
          <w:rFonts w:ascii="Arial" w:hAnsi="Arial" w:cs="Arial"/>
          <w:b/>
          <w:bCs/>
          <w:color w:val="auto"/>
          <w:sz w:val="22"/>
          <w:szCs w:val="22"/>
        </w:rPr>
        <w:t xml:space="preserve">Number of cycles for couples if </w:t>
      </w:r>
      <w:r w:rsidR="00002117" w:rsidRPr="00002117">
        <w:rPr>
          <w:rFonts w:ascii="Arial" w:hAnsi="Arial" w:cs="Arial"/>
          <w:b/>
          <w:bCs/>
          <w:color w:val="auto"/>
          <w:sz w:val="22"/>
          <w:szCs w:val="22"/>
        </w:rPr>
        <w:t>intended birth mother</w:t>
      </w:r>
      <w:r w:rsidR="00FC7058">
        <w:rPr>
          <w:rFonts w:ascii="Arial" w:hAnsi="Arial" w:cs="Arial"/>
          <w:b/>
          <w:bCs/>
          <w:color w:val="auto"/>
          <w:sz w:val="22"/>
          <w:szCs w:val="22"/>
        </w:rPr>
        <w:t xml:space="preserve"> </w:t>
      </w:r>
      <w:r w:rsidRPr="00953743">
        <w:rPr>
          <w:rFonts w:ascii="Arial" w:hAnsi="Arial" w:cs="Arial"/>
          <w:b/>
          <w:bCs/>
          <w:color w:val="auto"/>
          <w:sz w:val="22"/>
          <w:szCs w:val="22"/>
        </w:rPr>
        <w:t>aged 40 to 42 years old</w:t>
      </w:r>
      <w:r w:rsidRPr="00953743">
        <w:rPr>
          <w:rFonts w:ascii="Arial" w:hAnsi="Arial" w:cs="Arial"/>
          <w:b/>
          <w:bCs/>
          <w:color w:val="auto"/>
          <w:sz w:val="22"/>
          <w:szCs w:val="22"/>
        </w:rPr>
        <w:br/>
      </w:r>
      <w:r w:rsidR="009067A7">
        <w:rPr>
          <w:rFonts w:ascii="Arial" w:hAnsi="Arial" w:cs="Arial"/>
          <w:bCs/>
          <w:color w:val="auto"/>
          <w:sz w:val="22"/>
          <w:szCs w:val="22"/>
        </w:rPr>
        <w:t>If the</w:t>
      </w:r>
      <w:r w:rsidR="00FC7058">
        <w:rPr>
          <w:rFonts w:ascii="Arial" w:hAnsi="Arial" w:cs="Arial"/>
          <w:bCs/>
          <w:color w:val="auto"/>
          <w:sz w:val="22"/>
          <w:szCs w:val="22"/>
        </w:rPr>
        <w:t xml:space="preserve"> </w:t>
      </w:r>
      <w:r w:rsidR="00002117">
        <w:rPr>
          <w:rFonts w:ascii="Arial" w:hAnsi="Arial" w:cs="Arial"/>
          <w:bCs/>
          <w:sz w:val="22"/>
          <w:szCs w:val="22"/>
        </w:rPr>
        <w:t>intended birth mother</w:t>
      </w:r>
      <w:r w:rsidRPr="00953743">
        <w:rPr>
          <w:rFonts w:ascii="Arial" w:hAnsi="Arial" w:cs="Arial"/>
          <w:bCs/>
          <w:color w:val="auto"/>
          <w:sz w:val="22"/>
          <w:szCs w:val="22"/>
        </w:rPr>
        <w:t xml:space="preserve"> is aged </w:t>
      </w:r>
      <w:r w:rsidR="0059476C" w:rsidRPr="0059476C">
        <w:rPr>
          <w:rFonts w:ascii="Arial" w:hAnsi="Arial" w:cs="Arial"/>
          <w:bCs/>
          <w:color w:val="auto"/>
          <w:sz w:val="22"/>
          <w:szCs w:val="22"/>
        </w:rPr>
        <w:t>40 to 4</w:t>
      </w:r>
      <w:r w:rsidR="0059476C">
        <w:rPr>
          <w:rFonts w:ascii="Arial" w:hAnsi="Arial" w:cs="Arial"/>
          <w:bCs/>
          <w:color w:val="auto"/>
          <w:sz w:val="22"/>
          <w:szCs w:val="22"/>
        </w:rPr>
        <w:t>2</w:t>
      </w:r>
      <w:r w:rsidR="0059476C" w:rsidRPr="0059476C">
        <w:rPr>
          <w:rFonts w:ascii="Arial" w:hAnsi="Arial" w:cs="Arial"/>
          <w:bCs/>
          <w:color w:val="auto"/>
          <w:sz w:val="22"/>
          <w:szCs w:val="22"/>
        </w:rPr>
        <w:t xml:space="preserve"> years old</w:t>
      </w:r>
      <w:r w:rsidRPr="00953743">
        <w:rPr>
          <w:rFonts w:ascii="Arial" w:hAnsi="Arial" w:cs="Arial"/>
          <w:bCs/>
          <w:color w:val="auto"/>
          <w:sz w:val="22"/>
          <w:szCs w:val="22"/>
        </w:rPr>
        <w:t>, who meet all other criteria, one cycle of treatment may be funded if:</w:t>
      </w:r>
    </w:p>
    <w:p w14:paraId="4A66C041" w14:textId="77777777" w:rsidR="00953743" w:rsidRPr="00953743" w:rsidRDefault="00953743" w:rsidP="0059476C">
      <w:pPr>
        <w:pStyle w:val="Default"/>
        <w:numPr>
          <w:ilvl w:val="0"/>
          <w:numId w:val="7"/>
        </w:numPr>
        <w:ind w:left="567"/>
        <w:rPr>
          <w:rFonts w:ascii="Arial" w:hAnsi="Arial" w:cs="Arial"/>
          <w:bCs/>
          <w:color w:val="auto"/>
          <w:sz w:val="22"/>
          <w:szCs w:val="22"/>
        </w:rPr>
      </w:pPr>
      <w:r w:rsidRPr="00953743">
        <w:rPr>
          <w:rFonts w:ascii="Arial" w:hAnsi="Arial" w:cs="Arial"/>
          <w:bCs/>
          <w:color w:val="auto"/>
          <w:sz w:val="22"/>
          <w:szCs w:val="22"/>
        </w:rPr>
        <w:t>The couple have never previously had IVF treatment</w:t>
      </w:r>
    </w:p>
    <w:p w14:paraId="62EA549A" w14:textId="77777777" w:rsidR="00953743" w:rsidRPr="00953743" w:rsidRDefault="00953743" w:rsidP="0059476C">
      <w:pPr>
        <w:pStyle w:val="Default"/>
        <w:numPr>
          <w:ilvl w:val="0"/>
          <w:numId w:val="7"/>
        </w:numPr>
        <w:ind w:left="567"/>
        <w:rPr>
          <w:rFonts w:ascii="Arial" w:hAnsi="Arial" w:cs="Arial"/>
          <w:bCs/>
          <w:color w:val="auto"/>
          <w:sz w:val="22"/>
          <w:szCs w:val="22"/>
        </w:rPr>
      </w:pPr>
      <w:r w:rsidRPr="00953743">
        <w:rPr>
          <w:rFonts w:ascii="Arial" w:hAnsi="Arial" w:cs="Arial"/>
          <w:bCs/>
          <w:color w:val="auto"/>
          <w:sz w:val="22"/>
          <w:szCs w:val="22"/>
        </w:rPr>
        <w:t xml:space="preserve">There is no evidence of poor ovarian reserve, and if in the treating clinician’s </w:t>
      </w:r>
      <w:proofErr w:type="gramStart"/>
      <w:r w:rsidRPr="00953743">
        <w:rPr>
          <w:rFonts w:ascii="Arial" w:hAnsi="Arial" w:cs="Arial"/>
          <w:bCs/>
          <w:color w:val="auto"/>
          <w:sz w:val="22"/>
          <w:szCs w:val="22"/>
        </w:rPr>
        <w:t>view</w:t>
      </w:r>
      <w:proofErr w:type="gramEnd"/>
      <w:r w:rsidRPr="00953743">
        <w:rPr>
          <w:rFonts w:ascii="Arial" w:hAnsi="Arial" w:cs="Arial"/>
          <w:bCs/>
          <w:color w:val="auto"/>
          <w:sz w:val="22"/>
          <w:szCs w:val="22"/>
        </w:rPr>
        <w:t xml:space="preserve"> it is in the patients’ interest</w:t>
      </w:r>
    </w:p>
    <w:p w14:paraId="52BC93BA" w14:textId="77777777" w:rsidR="00953743" w:rsidRPr="00953743" w:rsidRDefault="00953743" w:rsidP="0059476C">
      <w:pPr>
        <w:pStyle w:val="Default"/>
        <w:numPr>
          <w:ilvl w:val="0"/>
          <w:numId w:val="7"/>
        </w:numPr>
        <w:ind w:left="567"/>
        <w:rPr>
          <w:rFonts w:ascii="Arial" w:hAnsi="Arial" w:cs="Arial"/>
          <w:bCs/>
          <w:color w:val="auto"/>
          <w:sz w:val="22"/>
          <w:szCs w:val="22"/>
        </w:rPr>
      </w:pPr>
      <w:r w:rsidRPr="00953743">
        <w:rPr>
          <w:rFonts w:ascii="Arial" w:hAnsi="Arial" w:cs="Arial"/>
          <w:bCs/>
          <w:color w:val="auto"/>
          <w:sz w:val="22"/>
          <w:szCs w:val="22"/>
        </w:rPr>
        <w:t>There has been a robust discussion regarding the additional implications of IVF and pregnancy at this age</w:t>
      </w:r>
      <w:r w:rsidRPr="00953743">
        <w:rPr>
          <w:rFonts w:ascii="Arial" w:hAnsi="Arial" w:cs="Arial"/>
          <w:bCs/>
          <w:color w:val="auto"/>
          <w:sz w:val="22"/>
          <w:szCs w:val="22"/>
        </w:rPr>
        <w:br/>
      </w:r>
    </w:p>
    <w:p w14:paraId="277C231C" w14:textId="4DA632CC" w:rsidR="003F1122" w:rsidRDefault="00953743" w:rsidP="00953743">
      <w:pPr>
        <w:pStyle w:val="Default"/>
        <w:rPr>
          <w:rFonts w:ascii="Arial" w:hAnsi="Arial" w:cs="Arial"/>
          <w:bCs/>
          <w:color w:val="auto"/>
          <w:sz w:val="22"/>
          <w:szCs w:val="22"/>
        </w:rPr>
      </w:pPr>
      <w:r w:rsidRPr="00953743">
        <w:rPr>
          <w:rFonts w:ascii="Arial" w:hAnsi="Arial" w:cs="Arial"/>
          <w:bCs/>
          <w:color w:val="auto"/>
          <w:sz w:val="22"/>
          <w:szCs w:val="22"/>
        </w:rPr>
        <w:t xml:space="preserve">Couples must have been </w:t>
      </w:r>
      <w:r w:rsidRPr="008159EB">
        <w:rPr>
          <w:rFonts w:ascii="Arial" w:hAnsi="Arial"/>
          <w:color w:val="auto"/>
          <w:sz w:val="22"/>
        </w:rPr>
        <w:t>screened for treatment</w:t>
      </w:r>
      <w:r w:rsidR="00E07B5B">
        <w:rPr>
          <w:rFonts w:ascii="Arial" w:hAnsi="Arial"/>
          <w:color w:val="auto"/>
          <w:sz w:val="22"/>
        </w:rPr>
        <w:t xml:space="preserve"> </w:t>
      </w:r>
      <w:r w:rsidRPr="008159EB">
        <w:rPr>
          <w:rFonts w:ascii="Arial" w:hAnsi="Arial"/>
          <w:color w:val="auto"/>
          <w:sz w:val="22"/>
          <w:u w:val="single"/>
        </w:rPr>
        <w:t xml:space="preserve">by the time of the </w:t>
      </w:r>
      <w:r w:rsidR="00002117" w:rsidRPr="008159EB">
        <w:rPr>
          <w:rFonts w:ascii="Arial" w:hAnsi="Arial"/>
          <w:sz w:val="22"/>
          <w:u w:val="single"/>
        </w:rPr>
        <w:t>intended birth mother’s</w:t>
      </w:r>
      <w:r w:rsidR="00FC7058">
        <w:rPr>
          <w:rFonts w:ascii="Arial" w:hAnsi="Arial"/>
          <w:sz w:val="22"/>
          <w:u w:val="single"/>
        </w:rPr>
        <w:t xml:space="preserve"> </w:t>
      </w:r>
      <w:r w:rsidRPr="00C56D03">
        <w:rPr>
          <w:rFonts w:ascii="Arial" w:hAnsi="Arial" w:cs="Arial"/>
          <w:bCs/>
          <w:color w:val="auto"/>
          <w:sz w:val="22"/>
          <w:szCs w:val="22"/>
          <w:u w:val="single"/>
        </w:rPr>
        <w:t>42</w:t>
      </w:r>
      <w:r w:rsidRPr="00C56D03">
        <w:rPr>
          <w:rFonts w:ascii="Arial" w:hAnsi="Arial" w:cs="Arial"/>
          <w:bCs/>
          <w:color w:val="auto"/>
          <w:sz w:val="22"/>
          <w:szCs w:val="22"/>
          <w:u w:val="single"/>
          <w:vertAlign w:val="superscript"/>
        </w:rPr>
        <w:t>nd</w:t>
      </w:r>
      <w:r w:rsidRPr="00953743">
        <w:rPr>
          <w:rFonts w:ascii="Arial" w:hAnsi="Arial" w:cs="Arial"/>
          <w:bCs/>
          <w:color w:val="auto"/>
          <w:sz w:val="22"/>
          <w:szCs w:val="22"/>
          <w:u w:val="single"/>
        </w:rPr>
        <w:t xml:space="preserve"> birthday</w:t>
      </w:r>
      <w:r w:rsidRPr="00953743">
        <w:rPr>
          <w:rFonts w:ascii="Arial" w:hAnsi="Arial" w:cs="Arial"/>
          <w:bCs/>
          <w:color w:val="auto"/>
          <w:sz w:val="22"/>
          <w:szCs w:val="22"/>
        </w:rPr>
        <w:t xml:space="preserve"> at the </w:t>
      </w:r>
      <w:r w:rsidR="00E50DCA" w:rsidRPr="00953743">
        <w:rPr>
          <w:rFonts w:ascii="Arial" w:hAnsi="Arial" w:cs="Arial"/>
          <w:bCs/>
          <w:color w:val="auto"/>
          <w:sz w:val="22"/>
          <w:szCs w:val="22"/>
        </w:rPr>
        <w:t>latest</w:t>
      </w:r>
      <w:r w:rsidRPr="00953743">
        <w:rPr>
          <w:rFonts w:ascii="Arial" w:hAnsi="Arial" w:cs="Arial"/>
          <w:bCs/>
          <w:color w:val="auto"/>
          <w:sz w:val="22"/>
          <w:szCs w:val="22"/>
        </w:rPr>
        <w:t xml:space="preserve"> and </w:t>
      </w:r>
      <w:r w:rsidRPr="00953743">
        <w:rPr>
          <w:rFonts w:ascii="Arial" w:hAnsi="Arial" w:cs="Arial"/>
          <w:b/>
          <w:bCs/>
          <w:color w:val="auto"/>
          <w:sz w:val="22"/>
          <w:szCs w:val="22"/>
        </w:rPr>
        <w:t xml:space="preserve">all </w:t>
      </w:r>
      <w:r w:rsidRPr="00953743">
        <w:rPr>
          <w:rFonts w:ascii="Arial" w:hAnsi="Arial" w:cs="Arial"/>
          <w:bCs/>
          <w:color w:val="auto"/>
          <w:sz w:val="22"/>
          <w:szCs w:val="22"/>
        </w:rPr>
        <w:t>treatment including any subsequent frozen embryo transfers must be completed by the time the</w:t>
      </w:r>
      <w:r w:rsidR="00002117">
        <w:rPr>
          <w:rFonts w:ascii="Arial" w:hAnsi="Arial" w:cs="Arial"/>
          <w:bCs/>
          <w:color w:val="auto"/>
          <w:sz w:val="22"/>
          <w:szCs w:val="22"/>
        </w:rPr>
        <w:t>y</w:t>
      </w:r>
      <w:r w:rsidR="00C56D03">
        <w:rPr>
          <w:rFonts w:ascii="Arial" w:hAnsi="Arial" w:cs="Arial"/>
          <w:bCs/>
          <w:color w:val="auto"/>
          <w:sz w:val="22"/>
          <w:szCs w:val="22"/>
        </w:rPr>
        <w:t xml:space="preserve"> reach</w:t>
      </w:r>
      <w:r w:rsidRPr="00953743">
        <w:rPr>
          <w:rFonts w:ascii="Arial" w:hAnsi="Arial" w:cs="Arial"/>
          <w:bCs/>
          <w:color w:val="auto"/>
          <w:sz w:val="22"/>
          <w:szCs w:val="22"/>
        </w:rPr>
        <w:t xml:space="preserve"> 42</w:t>
      </w:r>
      <w:r w:rsidR="00B1798D">
        <w:rPr>
          <w:rFonts w:ascii="Arial" w:hAnsi="Arial" w:cs="Arial"/>
          <w:bCs/>
          <w:color w:val="auto"/>
          <w:sz w:val="22"/>
          <w:szCs w:val="22"/>
        </w:rPr>
        <w:t>+ 364 days.</w:t>
      </w:r>
    </w:p>
    <w:p w14:paraId="605BA929" w14:textId="77777777" w:rsidR="003F1122" w:rsidRDefault="003F1122" w:rsidP="00953743">
      <w:pPr>
        <w:pStyle w:val="Default"/>
        <w:rPr>
          <w:rFonts w:ascii="Arial" w:hAnsi="Arial" w:cs="Arial"/>
          <w:bCs/>
          <w:color w:val="auto"/>
          <w:sz w:val="22"/>
          <w:szCs w:val="22"/>
        </w:rPr>
      </w:pPr>
    </w:p>
    <w:p w14:paraId="37756861" w14:textId="77777777" w:rsidR="0059476C" w:rsidRDefault="003F1122" w:rsidP="00953743">
      <w:pPr>
        <w:pStyle w:val="Default"/>
        <w:rPr>
          <w:rFonts w:ascii="Arial" w:hAnsi="Arial" w:cs="Arial"/>
          <w:b/>
          <w:bCs/>
          <w:color w:val="auto"/>
          <w:sz w:val="22"/>
          <w:szCs w:val="22"/>
        </w:rPr>
      </w:pPr>
      <w:r>
        <w:rPr>
          <w:rFonts w:ascii="Arial" w:hAnsi="Arial" w:cs="Arial"/>
          <w:bCs/>
          <w:color w:val="auto"/>
          <w:sz w:val="22"/>
          <w:szCs w:val="22"/>
        </w:rPr>
        <w:t>R</w:t>
      </w:r>
      <w:r w:rsidR="00953743" w:rsidRPr="00953743">
        <w:rPr>
          <w:rFonts w:ascii="Arial" w:hAnsi="Arial" w:cs="Arial"/>
          <w:bCs/>
          <w:color w:val="auto"/>
          <w:sz w:val="22"/>
          <w:szCs w:val="22"/>
        </w:rPr>
        <w:t xml:space="preserve">eferring clinicians must be realistic when referring couples in this category, both in respect of the additional criteria, and whether they </w:t>
      </w:r>
      <w:r w:rsidR="0059476C">
        <w:rPr>
          <w:rFonts w:ascii="Arial" w:hAnsi="Arial" w:cs="Arial"/>
          <w:bCs/>
          <w:color w:val="auto"/>
          <w:sz w:val="22"/>
          <w:szCs w:val="22"/>
        </w:rPr>
        <w:t>are likely to start treatment before the t</w:t>
      </w:r>
      <w:r w:rsidR="00953743" w:rsidRPr="00953743">
        <w:rPr>
          <w:rFonts w:ascii="Arial" w:hAnsi="Arial" w:cs="Arial"/>
          <w:bCs/>
          <w:color w:val="auto"/>
          <w:sz w:val="22"/>
          <w:szCs w:val="22"/>
        </w:rPr>
        <w:t xml:space="preserve">ime of the </w:t>
      </w:r>
      <w:r w:rsidR="00002117" w:rsidRPr="00002117">
        <w:rPr>
          <w:rFonts w:ascii="Arial" w:hAnsi="Arial" w:cs="Arial"/>
          <w:bCs/>
          <w:color w:val="auto"/>
          <w:sz w:val="22"/>
          <w:szCs w:val="22"/>
        </w:rPr>
        <w:t>intended birth mother</w:t>
      </w:r>
      <w:r w:rsidR="0059476C">
        <w:rPr>
          <w:rFonts w:ascii="Arial" w:hAnsi="Arial" w:cs="Arial"/>
          <w:bCs/>
          <w:color w:val="auto"/>
          <w:sz w:val="22"/>
          <w:szCs w:val="22"/>
        </w:rPr>
        <w:t>’</w:t>
      </w:r>
      <w:r w:rsidR="00953743" w:rsidRPr="00953743">
        <w:rPr>
          <w:rFonts w:ascii="Arial" w:hAnsi="Arial" w:cs="Arial"/>
          <w:bCs/>
          <w:color w:val="auto"/>
          <w:sz w:val="22"/>
          <w:szCs w:val="22"/>
        </w:rPr>
        <w:t>s 42</w:t>
      </w:r>
      <w:r w:rsidR="00953743" w:rsidRPr="00953743">
        <w:rPr>
          <w:rFonts w:ascii="Arial" w:hAnsi="Arial" w:cs="Arial"/>
          <w:bCs/>
          <w:color w:val="auto"/>
          <w:sz w:val="22"/>
          <w:szCs w:val="22"/>
          <w:vertAlign w:val="superscript"/>
        </w:rPr>
        <w:t>nd</w:t>
      </w:r>
      <w:r w:rsidR="00953743" w:rsidRPr="00953743">
        <w:rPr>
          <w:rFonts w:ascii="Arial" w:hAnsi="Arial" w:cs="Arial"/>
          <w:bCs/>
          <w:color w:val="auto"/>
          <w:sz w:val="22"/>
          <w:szCs w:val="22"/>
        </w:rPr>
        <w:t xml:space="preserve"> birthday.</w:t>
      </w:r>
      <w:r w:rsidR="00953743" w:rsidRPr="00953743">
        <w:rPr>
          <w:rFonts w:ascii="Arial" w:hAnsi="Arial" w:cs="Arial"/>
          <w:bCs/>
          <w:color w:val="auto"/>
          <w:sz w:val="22"/>
          <w:szCs w:val="22"/>
        </w:rPr>
        <w:br/>
      </w:r>
    </w:p>
    <w:p w14:paraId="2E322CF4" w14:textId="77777777" w:rsidR="00953743" w:rsidRPr="00953743" w:rsidRDefault="00953743" w:rsidP="00953743">
      <w:pPr>
        <w:pStyle w:val="Default"/>
        <w:rPr>
          <w:rFonts w:ascii="Arial" w:hAnsi="Arial" w:cs="Arial"/>
          <w:b/>
          <w:bCs/>
          <w:color w:val="auto"/>
          <w:sz w:val="22"/>
          <w:szCs w:val="22"/>
        </w:rPr>
      </w:pPr>
      <w:r w:rsidRPr="00953743">
        <w:rPr>
          <w:rFonts w:ascii="Arial" w:hAnsi="Arial" w:cs="Arial"/>
          <w:b/>
          <w:bCs/>
          <w:color w:val="auto"/>
          <w:sz w:val="22"/>
          <w:szCs w:val="22"/>
        </w:rPr>
        <w:t>Frozen embryos</w:t>
      </w:r>
    </w:p>
    <w:p w14:paraId="55F34CB4" w14:textId="77777777" w:rsidR="004A7766" w:rsidRDefault="00953743">
      <w:pPr>
        <w:pStyle w:val="Default"/>
      </w:pPr>
      <w:r w:rsidRPr="00953743">
        <w:rPr>
          <w:rFonts w:ascii="Arial" w:hAnsi="Arial" w:cs="Arial"/>
          <w:bCs/>
          <w:color w:val="auto"/>
          <w:sz w:val="22"/>
          <w:szCs w:val="22"/>
        </w:rPr>
        <w:t>Should circumstances change and couples no longer meet the NHS eligibility criteria, self-funding for any future transfers will be required.</w:t>
      </w:r>
    </w:p>
    <w:sectPr w:rsidR="004A7766" w:rsidSect="00882DCD">
      <w:footerReference w:type="default" r:id="rId9"/>
      <w:headerReference w:type="first" r:id="rId10"/>
      <w:footerReference w:type="first" r:id="rId11"/>
      <w:pgSz w:w="11901" w:h="16846"/>
      <w:pgMar w:top="709" w:right="1134" w:bottom="1418" w:left="1134" w:header="426" w:footer="102"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694A8" w14:textId="77777777" w:rsidR="00FC7058" w:rsidRDefault="00FC7058">
      <w:r>
        <w:separator/>
      </w:r>
    </w:p>
  </w:endnote>
  <w:endnote w:type="continuationSeparator" w:id="0">
    <w:p w14:paraId="013F5F77" w14:textId="77777777" w:rsidR="00FC7058" w:rsidRDefault="00FC7058">
      <w:r>
        <w:continuationSeparator/>
      </w:r>
    </w:p>
  </w:endnote>
  <w:endnote w:type="continuationNotice" w:id="1">
    <w:p w14:paraId="203788BE" w14:textId="77777777" w:rsidR="00FC7058" w:rsidRDefault="00FC70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VVXOX+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top w:val="single" w:sz="4" w:space="0" w:color="auto"/>
      </w:tblBorders>
      <w:tblLook w:val="04A0" w:firstRow="1" w:lastRow="0" w:firstColumn="1" w:lastColumn="0" w:noHBand="0" w:noVBand="1"/>
    </w:tblPr>
    <w:tblGrid>
      <w:gridCol w:w="3681"/>
      <w:gridCol w:w="3118"/>
      <w:gridCol w:w="2840"/>
    </w:tblGrid>
    <w:tr w:rsidR="00FC7058" w:rsidRPr="00821449" w14:paraId="5ED7C6C9" w14:textId="77777777" w:rsidTr="008159EB">
      <w:trPr>
        <w:jc w:val="center"/>
      </w:trPr>
      <w:tc>
        <w:tcPr>
          <w:tcW w:w="3681" w:type="dxa"/>
          <w:tcBorders>
            <w:top w:val="single" w:sz="4" w:space="0" w:color="auto"/>
            <w:bottom w:val="nil"/>
          </w:tcBorders>
        </w:tcPr>
        <w:p w14:paraId="5B67A419" w14:textId="4C77E5FA" w:rsidR="00FC7058" w:rsidRPr="00C508D8" w:rsidRDefault="00FC7058" w:rsidP="00C959F3">
          <w:pPr>
            <w:tabs>
              <w:tab w:val="center" w:pos="4153"/>
              <w:tab w:val="right" w:pos="8306"/>
            </w:tabs>
            <w:spacing w:before="80"/>
            <w:rPr>
              <w:rFonts w:ascii="Arial" w:hAnsi="Arial" w:cs="Arial"/>
              <w:sz w:val="16"/>
              <w:szCs w:val="16"/>
              <w:lang w:eastAsia="en-GB"/>
            </w:rPr>
          </w:pPr>
          <w:r w:rsidRPr="00C508D8">
            <w:rPr>
              <w:rFonts w:ascii="Arial" w:hAnsi="Arial" w:cs="Arial"/>
              <w:sz w:val="16"/>
              <w:szCs w:val="16"/>
              <w:lang w:eastAsia="en-GB"/>
            </w:rPr>
            <w:t>Doc. ID: EFR-</w:t>
          </w:r>
          <w:r>
            <w:rPr>
              <w:rFonts w:ascii="Arial" w:hAnsi="Arial" w:cs="Arial"/>
              <w:sz w:val="16"/>
              <w:szCs w:val="16"/>
              <w:lang w:eastAsia="en-GB"/>
            </w:rPr>
            <w:t>E-88 v1</w:t>
          </w:r>
          <w:r w:rsidR="00411FF5">
            <w:rPr>
              <w:rFonts w:ascii="Arial" w:hAnsi="Arial" w:cs="Arial"/>
              <w:sz w:val="16"/>
              <w:szCs w:val="16"/>
              <w:lang w:eastAsia="en-GB"/>
            </w:rPr>
            <w:t>4</w:t>
          </w:r>
        </w:p>
        <w:p w14:paraId="320F3A42" w14:textId="78509C13" w:rsidR="00FC7058" w:rsidRDefault="00FC7058" w:rsidP="008514C4">
          <w:pPr>
            <w:tabs>
              <w:tab w:val="center" w:pos="4153"/>
              <w:tab w:val="right" w:pos="8306"/>
            </w:tabs>
            <w:rPr>
              <w:rFonts w:ascii="Arial" w:hAnsi="Arial" w:cs="Arial"/>
              <w:sz w:val="16"/>
              <w:szCs w:val="16"/>
              <w:lang w:eastAsia="en-GB"/>
            </w:rPr>
          </w:pPr>
          <w:r w:rsidRPr="00C508D8">
            <w:rPr>
              <w:rFonts w:ascii="Arial" w:hAnsi="Arial" w:cs="Arial"/>
              <w:sz w:val="16"/>
              <w:szCs w:val="16"/>
              <w:lang w:eastAsia="en-GB"/>
            </w:rPr>
            <w:t xml:space="preserve">Issue Date: </w:t>
          </w:r>
          <w:r w:rsidR="00411FF5">
            <w:rPr>
              <w:rFonts w:ascii="Arial" w:hAnsi="Arial" w:cs="Arial"/>
              <w:sz w:val="16"/>
              <w:szCs w:val="16"/>
              <w:lang w:eastAsia="en-GB"/>
            </w:rPr>
            <w:t>1</w:t>
          </w:r>
          <w:r w:rsidR="00743DD5">
            <w:rPr>
              <w:rFonts w:ascii="Arial" w:hAnsi="Arial" w:cs="Arial"/>
              <w:sz w:val="16"/>
              <w:szCs w:val="16"/>
              <w:lang w:eastAsia="en-GB"/>
            </w:rPr>
            <w:t>4</w:t>
          </w:r>
          <w:r>
            <w:rPr>
              <w:rFonts w:ascii="Arial" w:hAnsi="Arial" w:cs="Arial"/>
              <w:sz w:val="16"/>
              <w:szCs w:val="16"/>
              <w:lang w:eastAsia="en-GB"/>
            </w:rPr>
            <w:t>.0</w:t>
          </w:r>
          <w:r w:rsidR="00411FF5">
            <w:rPr>
              <w:rFonts w:ascii="Arial" w:hAnsi="Arial" w:cs="Arial"/>
              <w:sz w:val="16"/>
              <w:szCs w:val="16"/>
              <w:lang w:eastAsia="en-GB"/>
            </w:rPr>
            <w:t>4</w:t>
          </w:r>
          <w:r>
            <w:rPr>
              <w:rFonts w:ascii="Arial" w:hAnsi="Arial" w:cs="Arial"/>
              <w:sz w:val="16"/>
              <w:szCs w:val="16"/>
              <w:lang w:eastAsia="en-GB"/>
            </w:rPr>
            <w:t>.2023</w:t>
          </w:r>
        </w:p>
        <w:p w14:paraId="0D3AD464" w14:textId="77777777" w:rsidR="00FC7058" w:rsidRPr="00C508D8" w:rsidRDefault="00FC7058" w:rsidP="008514C4">
          <w:pPr>
            <w:tabs>
              <w:tab w:val="center" w:pos="4153"/>
              <w:tab w:val="right" w:pos="8306"/>
            </w:tabs>
            <w:rPr>
              <w:rFonts w:ascii="Arial" w:hAnsi="Arial" w:cs="Arial"/>
              <w:sz w:val="16"/>
              <w:szCs w:val="16"/>
              <w:lang w:eastAsia="en-GB"/>
            </w:rPr>
          </w:pPr>
        </w:p>
      </w:tc>
      <w:tc>
        <w:tcPr>
          <w:tcW w:w="3118" w:type="dxa"/>
          <w:tcBorders>
            <w:top w:val="single" w:sz="4" w:space="0" w:color="auto"/>
            <w:bottom w:val="nil"/>
          </w:tcBorders>
        </w:tcPr>
        <w:p w14:paraId="24F2AEB6" w14:textId="23E3FA81" w:rsidR="00FC7058" w:rsidRPr="00C508D8" w:rsidRDefault="00FC7058" w:rsidP="00C959F3">
          <w:pPr>
            <w:tabs>
              <w:tab w:val="center" w:pos="4153"/>
              <w:tab w:val="right" w:pos="8306"/>
            </w:tabs>
            <w:spacing w:before="80"/>
            <w:rPr>
              <w:rFonts w:ascii="Arial" w:hAnsi="Arial" w:cs="Arial"/>
              <w:sz w:val="16"/>
              <w:szCs w:val="16"/>
              <w:lang w:eastAsia="en-GB"/>
            </w:rPr>
          </w:pPr>
          <w:r w:rsidRPr="00C508D8">
            <w:rPr>
              <w:rFonts w:ascii="Arial" w:hAnsi="Arial" w:cs="Arial"/>
              <w:sz w:val="16"/>
              <w:szCs w:val="16"/>
              <w:lang w:eastAsia="en-GB"/>
            </w:rPr>
            <w:t xml:space="preserve">Author: </w:t>
          </w:r>
          <w:r w:rsidR="00411FF5">
            <w:rPr>
              <w:rFonts w:ascii="Arial" w:hAnsi="Arial" w:cs="Arial"/>
              <w:sz w:val="16"/>
              <w:szCs w:val="16"/>
              <w:lang w:eastAsia="en-GB"/>
            </w:rPr>
            <w:t>M. Chetty</w:t>
          </w:r>
        </w:p>
        <w:p w14:paraId="0D25404E" w14:textId="7E71226E" w:rsidR="00FC7058" w:rsidRPr="00C508D8" w:rsidRDefault="00FC7058" w:rsidP="00882DCD">
          <w:pPr>
            <w:tabs>
              <w:tab w:val="center" w:pos="4153"/>
              <w:tab w:val="right" w:pos="8306"/>
            </w:tabs>
            <w:rPr>
              <w:rFonts w:ascii="Arial" w:hAnsi="Arial" w:cs="Arial"/>
              <w:sz w:val="16"/>
              <w:szCs w:val="16"/>
              <w:lang w:eastAsia="en-GB"/>
            </w:rPr>
          </w:pPr>
          <w:r w:rsidRPr="00C508D8">
            <w:rPr>
              <w:rFonts w:ascii="Arial" w:hAnsi="Arial" w:cs="Arial"/>
              <w:sz w:val="16"/>
              <w:szCs w:val="16"/>
              <w:lang w:eastAsia="en-GB"/>
            </w:rPr>
            <w:t xml:space="preserve">Authority for Issue: </w:t>
          </w:r>
          <w:r w:rsidR="00645563">
            <w:rPr>
              <w:rFonts w:ascii="Arial" w:hAnsi="Arial" w:cs="Arial"/>
              <w:sz w:val="16"/>
              <w:szCs w:val="16"/>
              <w:lang w:eastAsia="en-GB"/>
            </w:rPr>
            <w:t>D. Wales</w:t>
          </w:r>
        </w:p>
      </w:tc>
      <w:tc>
        <w:tcPr>
          <w:tcW w:w="2840" w:type="dxa"/>
          <w:tcBorders>
            <w:top w:val="single" w:sz="4" w:space="0" w:color="auto"/>
            <w:bottom w:val="nil"/>
          </w:tcBorders>
        </w:tcPr>
        <w:p w14:paraId="6920AF0C" w14:textId="77777777" w:rsidR="00FC7058" w:rsidRPr="00821449" w:rsidRDefault="00FC7058" w:rsidP="00C959F3">
          <w:pPr>
            <w:spacing w:before="80"/>
            <w:jc w:val="right"/>
            <w:rPr>
              <w:rFonts w:cs="Arial"/>
              <w:sz w:val="16"/>
              <w:szCs w:val="16"/>
              <w:lang w:eastAsia="en-GB"/>
            </w:rPr>
          </w:pPr>
        </w:p>
        <w:p w14:paraId="25E860D6" w14:textId="77777777" w:rsidR="00FC7058" w:rsidRPr="00C508D8" w:rsidRDefault="00FC7058" w:rsidP="00C959F3">
          <w:pPr>
            <w:jc w:val="right"/>
            <w:rPr>
              <w:rFonts w:ascii="Arial" w:hAnsi="Arial" w:cs="Arial"/>
              <w:sz w:val="16"/>
              <w:szCs w:val="16"/>
              <w:lang w:eastAsia="en-GB"/>
            </w:rPr>
          </w:pPr>
          <w:r w:rsidRPr="00C508D8">
            <w:rPr>
              <w:rFonts w:ascii="Arial" w:hAnsi="Arial" w:cs="Arial"/>
              <w:sz w:val="16"/>
              <w:szCs w:val="16"/>
              <w:lang w:eastAsia="en-GB"/>
            </w:rPr>
            <w:t xml:space="preserve">Page </w:t>
          </w:r>
          <w:r w:rsidRPr="00C508D8">
            <w:rPr>
              <w:rFonts w:ascii="Arial" w:hAnsi="Arial" w:cs="Arial"/>
              <w:sz w:val="16"/>
              <w:szCs w:val="16"/>
              <w:lang w:eastAsia="en-GB"/>
            </w:rPr>
            <w:fldChar w:fldCharType="begin"/>
          </w:r>
          <w:r w:rsidRPr="00C508D8">
            <w:rPr>
              <w:rFonts w:ascii="Arial" w:hAnsi="Arial" w:cs="Arial"/>
              <w:sz w:val="16"/>
              <w:szCs w:val="16"/>
              <w:lang w:eastAsia="en-GB"/>
            </w:rPr>
            <w:instrText xml:space="preserve"> PAGE </w:instrText>
          </w:r>
          <w:r w:rsidRPr="00C508D8">
            <w:rPr>
              <w:rFonts w:ascii="Arial" w:hAnsi="Arial" w:cs="Arial"/>
              <w:sz w:val="16"/>
              <w:szCs w:val="16"/>
              <w:lang w:eastAsia="en-GB"/>
            </w:rPr>
            <w:fldChar w:fldCharType="separate"/>
          </w:r>
          <w:r w:rsidR="00F47524">
            <w:rPr>
              <w:rFonts w:ascii="Arial" w:hAnsi="Arial" w:cs="Arial"/>
              <w:noProof/>
              <w:sz w:val="16"/>
              <w:szCs w:val="16"/>
              <w:lang w:eastAsia="en-GB"/>
            </w:rPr>
            <w:t>1</w:t>
          </w:r>
          <w:r w:rsidRPr="00C508D8">
            <w:rPr>
              <w:rFonts w:ascii="Arial" w:hAnsi="Arial" w:cs="Arial"/>
              <w:sz w:val="16"/>
              <w:szCs w:val="16"/>
              <w:lang w:eastAsia="en-GB"/>
            </w:rPr>
            <w:fldChar w:fldCharType="end"/>
          </w:r>
          <w:r w:rsidRPr="00C508D8">
            <w:rPr>
              <w:rFonts w:ascii="Arial" w:hAnsi="Arial" w:cs="Arial"/>
              <w:sz w:val="16"/>
              <w:szCs w:val="16"/>
              <w:lang w:eastAsia="en-GB"/>
            </w:rPr>
            <w:t xml:space="preserve"> of </w:t>
          </w:r>
          <w:r w:rsidRPr="00C508D8">
            <w:rPr>
              <w:rFonts w:ascii="Arial" w:hAnsi="Arial" w:cs="Arial"/>
              <w:sz w:val="16"/>
              <w:szCs w:val="16"/>
              <w:lang w:eastAsia="en-GB"/>
            </w:rPr>
            <w:fldChar w:fldCharType="begin"/>
          </w:r>
          <w:r w:rsidRPr="00C508D8">
            <w:rPr>
              <w:rFonts w:ascii="Arial" w:hAnsi="Arial" w:cs="Arial"/>
              <w:sz w:val="16"/>
              <w:szCs w:val="16"/>
              <w:lang w:eastAsia="en-GB"/>
            </w:rPr>
            <w:instrText xml:space="preserve"> NUMPAGES  </w:instrText>
          </w:r>
          <w:r w:rsidRPr="00C508D8">
            <w:rPr>
              <w:rFonts w:ascii="Arial" w:hAnsi="Arial" w:cs="Arial"/>
              <w:sz w:val="16"/>
              <w:szCs w:val="16"/>
              <w:lang w:eastAsia="en-GB"/>
            </w:rPr>
            <w:fldChar w:fldCharType="separate"/>
          </w:r>
          <w:r w:rsidR="00F47524">
            <w:rPr>
              <w:rFonts w:ascii="Arial" w:hAnsi="Arial" w:cs="Arial"/>
              <w:noProof/>
              <w:sz w:val="16"/>
              <w:szCs w:val="16"/>
              <w:lang w:eastAsia="en-GB"/>
            </w:rPr>
            <w:t>2</w:t>
          </w:r>
          <w:r w:rsidRPr="00C508D8">
            <w:rPr>
              <w:rFonts w:ascii="Arial" w:hAnsi="Arial" w:cs="Arial"/>
              <w:sz w:val="16"/>
              <w:szCs w:val="16"/>
              <w:lang w:eastAsia="en-GB"/>
            </w:rPr>
            <w:fldChar w:fldCharType="end"/>
          </w:r>
        </w:p>
      </w:tc>
    </w:tr>
  </w:tbl>
  <w:p w14:paraId="16F1ED15" w14:textId="77777777" w:rsidR="00FC7058" w:rsidRPr="00A93EBD" w:rsidRDefault="00FC7058" w:rsidP="00A93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A1FEF" w14:textId="77777777" w:rsidR="00FC7058" w:rsidRDefault="00FC7058">
    <w:pPr>
      <w:pStyle w:val="Footer"/>
      <w:pBdr>
        <w:top w:val="single" w:sz="4" w:space="1" w:color="auto"/>
      </w:pBdr>
      <w:tabs>
        <w:tab w:val="clear" w:pos="4320"/>
        <w:tab w:val="clear" w:pos="8640"/>
        <w:tab w:val="center" w:pos="4820"/>
        <w:tab w:val="right" w:pos="9639"/>
      </w:tabs>
    </w:pPr>
    <w:r>
      <w:t>Info – Counselling FAQ’s</w:t>
    </w:r>
    <w:r>
      <w:tab/>
    </w: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2</w:t>
    </w:r>
    <w:r>
      <w:tab/>
    </w:r>
  </w:p>
  <w:p w14:paraId="7F87F00F" w14:textId="77777777" w:rsidR="00FC7058" w:rsidRDefault="00FC7058">
    <w:pPr>
      <w:pStyle w:val="Footer"/>
      <w:tabs>
        <w:tab w:val="clear" w:pos="4320"/>
        <w:tab w:val="clear" w:pos="8640"/>
        <w:tab w:val="center" w:pos="4820"/>
        <w:tab w:val="right" w:pos="9639"/>
      </w:tabs>
      <w:rPr>
        <w:rStyle w:val="PageNumber"/>
      </w:rPr>
    </w:pPr>
    <w:r>
      <w:t>Version 3.0</w:t>
    </w:r>
    <w:r>
      <w:rPr>
        <w:rStyle w:val="PageNumber"/>
      </w:rPr>
      <w:tab/>
      <w:t>Author : MG</w:t>
    </w:r>
    <w:r>
      <w:rPr>
        <w:rStyle w:val="PageNumber"/>
      </w:rPr>
      <w:tab/>
      <w:t>Review Date: 30.10. 08</w:t>
    </w:r>
  </w:p>
  <w:p w14:paraId="1D11604B" w14:textId="77777777" w:rsidR="00FC7058" w:rsidRDefault="00FC7058">
    <w:pPr>
      <w:pStyle w:val="Footer"/>
      <w:tabs>
        <w:tab w:val="clear" w:pos="4320"/>
        <w:tab w:val="clear" w:pos="8640"/>
        <w:tab w:val="center" w:pos="4820"/>
        <w:tab w:val="right" w:pos="9639"/>
      </w:tabs>
      <w:rPr>
        <w:rStyle w:val="PageNumber"/>
      </w:rPr>
    </w:pPr>
    <w:r>
      <w:rPr>
        <w:rFonts w:cs="Arial"/>
      </w:rPr>
      <w:t>Doc ID:  CF-EFR-R-</w:t>
    </w:r>
    <w:proofErr w:type="spellStart"/>
    <w:r>
      <w:rPr>
        <w:rFonts w:cs="Arial"/>
      </w:rPr>
      <w:t>ICounFAQ</w:t>
    </w:r>
    <w:proofErr w:type="spellEnd"/>
  </w:p>
  <w:p w14:paraId="3EA7E600" w14:textId="77777777" w:rsidR="00FC7058" w:rsidRDefault="00FC7058">
    <w:pPr>
      <w:pStyle w:val="Footer"/>
      <w:tabs>
        <w:tab w:val="clear" w:pos="4320"/>
        <w:tab w:val="clear" w:pos="8640"/>
        <w:tab w:val="center" w:pos="4820"/>
        <w:tab w:val="right" w:pos="9639"/>
      </w:tabs>
    </w:pPr>
    <w:r>
      <w:rPr>
        <w:rStyle w:val="PageNumber"/>
      </w:rPr>
      <w:t xml:space="preserve">Authorisation:  EFREC QM Group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AAF4" w14:textId="77777777" w:rsidR="00FC7058" w:rsidRDefault="00FC7058">
      <w:r>
        <w:separator/>
      </w:r>
    </w:p>
  </w:footnote>
  <w:footnote w:type="continuationSeparator" w:id="0">
    <w:p w14:paraId="1D980452" w14:textId="77777777" w:rsidR="00FC7058" w:rsidRDefault="00FC7058">
      <w:r>
        <w:continuationSeparator/>
      </w:r>
    </w:p>
  </w:footnote>
  <w:footnote w:type="continuationNotice" w:id="1">
    <w:p w14:paraId="1D13635A" w14:textId="77777777" w:rsidR="00FC7058" w:rsidRDefault="00FC70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9089" w14:textId="77777777" w:rsidR="00FC7058" w:rsidRDefault="00FC7058">
    <w:pPr>
      <w:pStyle w:val="Header"/>
    </w:pPr>
    <w:r>
      <w:rPr>
        <w:noProof/>
        <w:lang w:eastAsia="en-GB"/>
      </w:rPr>
      <w:drawing>
        <wp:anchor distT="0" distB="0" distL="114300" distR="114300" simplePos="0" relativeHeight="251657728" behindDoc="0" locked="1" layoutInCell="0" allowOverlap="1" wp14:anchorId="07A8D0CE" wp14:editId="725F1186">
          <wp:simplePos x="0" y="0"/>
          <wp:positionH relativeFrom="column">
            <wp:posOffset>5046345</wp:posOffset>
          </wp:positionH>
          <wp:positionV relativeFrom="paragraph">
            <wp:posOffset>-219075</wp:posOffset>
          </wp:positionV>
          <wp:extent cx="1371600" cy="1371600"/>
          <wp:effectExtent l="19050" t="0" r="0" b="0"/>
          <wp:wrapSquare wrapText="bothSides"/>
          <wp:docPr id="1" name="Picture 1" descr="LO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_GREY"/>
                  <pic:cNvPicPr>
                    <a:picLocks noChangeAspect="1" noChangeArrowheads="1"/>
                  </pic:cNvPicPr>
                </pic:nvPicPr>
                <pic:blipFill>
                  <a:blip r:embed="rId1"/>
                  <a:srcRect/>
                  <a:stretch>
                    <a:fillRect/>
                  </a:stretch>
                </pic:blipFill>
                <pic:spPr bwMode="auto">
                  <a:xfrm>
                    <a:off x="0" y="0"/>
                    <a:ext cx="1371600" cy="1371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19F"/>
    <w:multiLevelType w:val="hybridMultilevel"/>
    <w:tmpl w:val="93E89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D546C"/>
    <w:multiLevelType w:val="hybridMultilevel"/>
    <w:tmpl w:val="EBE08186"/>
    <w:lvl w:ilvl="0" w:tplc="2524537E">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36172"/>
    <w:multiLevelType w:val="hybridMultilevel"/>
    <w:tmpl w:val="4754E6EC"/>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 w15:restartNumberingAfterBreak="0">
    <w:nsid w:val="1F036F9D"/>
    <w:multiLevelType w:val="hybridMultilevel"/>
    <w:tmpl w:val="95F8F15A"/>
    <w:lvl w:ilvl="0" w:tplc="D0DE64B2">
      <w:start w:val="1"/>
      <w:numFmt w:val="bullet"/>
      <w:lvlText w:val=""/>
      <w:lvlJc w:val="left"/>
      <w:pPr>
        <w:ind w:left="454" w:hanging="227"/>
      </w:pPr>
      <w:rPr>
        <w:rFonts w:ascii="Symbol" w:hAnsi="Symbol" w:hint="default"/>
      </w:rPr>
    </w:lvl>
    <w:lvl w:ilvl="1" w:tplc="3BA820E0">
      <w:start w:val="1"/>
      <w:numFmt w:val="bullet"/>
      <w:lvlText w:val="o"/>
      <w:lvlJc w:val="left"/>
      <w:pPr>
        <w:ind w:left="1134" w:hanging="34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22650C"/>
    <w:multiLevelType w:val="hybridMultilevel"/>
    <w:tmpl w:val="B84CDC4E"/>
    <w:lvl w:ilvl="0" w:tplc="08090001">
      <w:start w:val="1"/>
      <w:numFmt w:val="bullet"/>
      <w:lvlText w:val=""/>
      <w:lvlJc w:val="left"/>
      <w:pPr>
        <w:ind w:left="34" w:hanging="360"/>
      </w:pPr>
      <w:rPr>
        <w:rFonts w:ascii="Symbol" w:hAnsi="Symbol" w:hint="default"/>
      </w:rPr>
    </w:lvl>
    <w:lvl w:ilvl="1" w:tplc="08090003" w:tentative="1">
      <w:start w:val="1"/>
      <w:numFmt w:val="bullet"/>
      <w:lvlText w:val="o"/>
      <w:lvlJc w:val="left"/>
      <w:pPr>
        <w:ind w:left="754" w:hanging="360"/>
      </w:pPr>
      <w:rPr>
        <w:rFonts w:ascii="Courier New" w:hAnsi="Courier New" w:cs="Courier New" w:hint="default"/>
      </w:rPr>
    </w:lvl>
    <w:lvl w:ilvl="2" w:tplc="08090005" w:tentative="1">
      <w:start w:val="1"/>
      <w:numFmt w:val="bullet"/>
      <w:lvlText w:val=""/>
      <w:lvlJc w:val="left"/>
      <w:pPr>
        <w:ind w:left="1474" w:hanging="360"/>
      </w:pPr>
      <w:rPr>
        <w:rFonts w:ascii="Wingdings" w:hAnsi="Wingdings" w:hint="default"/>
      </w:rPr>
    </w:lvl>
    <w:lvl w:ilvl="3" w:tplc="08090001" w:tentative="1">
      <w:start w:val="1"/>
      <w:numFmt w:val="bullet"/>
      <w:lvlText w:val=""/>
      <w:lvlJc w:val="left"/>
      <w:pPr>
        <w:ind w:left="2194" w:hanging="360"/>
      </w:pPr>
      <w:rPr>
        <w:rFonts w:ascii="Symbol" w:hAnsi="Symbol" w:hint="default"/>
      </w:rPr>
    </w:lvl>
    <w:lvl w:ilvl="4" w:tplc="08090003" w:tentative="1">
      <w:start w:val="1"/>
      <w:numFmt w:val="bullet"/>
      <w:lvlText w:val="o"/>
      <w:lvlJc w:val="left"/>
      <w:pPr>
        <w:ind w:left="2914" w:hanging="360"/>
      </w:pPr>
      <w:rPr>
        <w:rFonts w:ascii="Courier New" w:hAnsi="Courier New" w:cs="Courier New" w:hint="default"/>
      </w:rPr>
    </w:lvl>
    <w:lvl w:ilvl="5" w:tplc="08090005" w:tentative="1">
      <w:start w:val="1"/>
      <w:numFmt w:val="bullet"/>
      <w:lvlText w:val=""/>
      <w:lvlJc w:val="left"/>
      <w:pPr>
        <w:ind w:left="3634" w:hanging="360"/>
      </w:pPr>
      <w:rPr>
        <w:rFonts w:ascii="Wingdings" w:hAnsi="Wingdings" w:hint="default"/>
      </w:rPr>
    </w:lvl>
    <w:lvl w:ilvl="6" w:tplc="08090001" w:tentative="1">
      <w:start w:val="1"/>
      <w:numFmt w:val="bullet"/>
      <w:lvlText w:val=""/>
      <w:lvlJc w:val="left"/>
      <w:pPr>
        <w:ind w:left="4354" w:hanging="360"/>
      </w:pPr>
      <w:rPr>
        <w:rFonts w:ascii="Symbol" w:hAnsi="Symbol" w:hint="default"/>
      </w:rPr>
    </w:lvl>
    <w:lvl w:ilvl="7" w:tplc="08090003" w:tentative="1">
      <w:start w:val="1"/>
      <w:numFmt w:val="bullet"/>
      <w:lvlText w:val="o"/>
      <w:lvlJc w:val="left"/>
      <w:pPr>
        <w:ind w:left="5074" w:hanging="360"/>
      </w:pPr>
      <w:rPr>
        <w:rFonts w:ascii="Courier New" w:hAnsi="Courier New" w:cs="Courier New" w:hint="default"/>
      </w:rPr>
    </w:lvl>
    <w:lvl w:ilvl="8" w:tplc="08090005" w:tentative="1">
      <w:start w:val="1"/>
      <w:numFmt w:val="bullet"/>
      <w:lvlText w:val=""/>
      <w:lvlJc w:val="left"/>
      <w:pPr>
        <w:ind w:left="5794" w:hanging="360"/>
      </w:pPr>
      <w:rPr>
        <w:rFonts w:ascii="Wingdings" w:hAnsi="Wingdings" w:hint="default"/>
      </w:rPr>
    </w:lvl>
  </w:abstractNum>
  <w:abstractNum w:abstractNumId="5" w15:restartNumberingAfterBreak="0">
    <w:nsid w:val="2D711052"/>
    <w:multiLevelType w:val="hybridMultilevel"/>
    <w:tmpl w:val="93161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E1DFF3"/>
    <w:multiLevelType w:val="hybridMultilevel"/>
    <w:tmpl w:val="C9DFDB9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47F5392D"/>
    <w:multiLevelType w:val="hybridMultilevel"/>
    <w:tmpl w:val="63041494"/>
    <w:lvl w:ilvl="0" w:tplc="2524537E">
      <w:start w:val="1"/>
      <w:numFmt w:val="bullet"/>
      <w:lvlText w:val="o"/>
      <w:lvlJc w:val="left"/>
      <w:pPr>
        <w:ind w:left="454" w:hanging="22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0B2472"/>
    <w:multiLevelType w:val="hybridMultilevel"/>
    <w:tmpl w:val="A958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D92D38"/>
    <w:multiLevelType w:val="hybridMultilevel"/>
    <w:tmpl w:val="872E6630"/>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10" w15:restartNumberingAfterBreak="0">
    <w:nsid w:val="5D281F9D"/>
    <w:multiLevelType w:val="hybridMultilevel"/>
    <w:tmpl w:val="19C626B2"/>
    <w:lvl w:ilvl="0" w:tplc="2524537E">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4766823">
    <w:abstractNumId w:val="5"/>
  </w:num>
  <w:num w:numId="2" w16cid:durableId="777874709">
    <w:abstractNumId w:val="6"/>
  </w:num>
  <w:num w:numId="3" w16cid:durableId="81805013">
    <w:abstractNumId w:val="9"/>
  </w:num>
  <w:num w:numId="4" w16cid:durableId="212541029">
    <w:abstractNumId w:val="0"/>
  </w:num>
  <w:num w:numId="5" w16cid:durableId="1741949068">
    <w:abstractNumId w:val="8"/>
  </w:num>
  <w:num w:numId="6" w16cid:durableId="933517725">
    <w:abstractNumId w:val="3"/>
  </w:num>
  <w:num w:numId="7" w16cid:durableId="1649624945">
    <w:abstractNumId w:val="7"/>
  </w:num>
  <w:num w:numId="8" w16cid:durableId="1243294116">
    <w:abstractNumId w:val="10"/>
  </w:num>
  <w:num w:numId="9" w16cid:durableId="1081029330">
    <w:abstractNumId w:val="2"/>
  </w:num>
  <w:num w:numId="10" w16cid:durableId="1494297853">
    <w:abstractNumId w:val="4"/>
  </w:num>
  <w:num w:numId="11" w16cid:durableId="46757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06"/>
    <w:rsid w:val="00002117"/>
    <w:rsid w:val="00014628"/>
    <w:rsid w:val="00015238"/>
    <w:rsid w:val="00037238"/>
    <w:rsid w:val="0006048B"/>
    <w:rsid w:val="0006292C"/>
    <w:rsid w:val="000653EF"/>
    <w:rsid w:val="000A0095"/>
    <w:rsid w:val="000B2BBB"/>
    <w:rsid w:val="000F519A"/>
    <w:rsid w:val="0012379E"/>
    <w:rsid w:val="0013594B"/>
    <w:rsid w:val="00152017"/>
    <w:rsid w:val="00195FFE"/>
    <w:rsid w:val="00197D72"/>
    <w:rsid w:val="001A7B03"/>
    <w:rsid w:val="001B696F"/>
    <w:rsid w:val="001C005A"/>
    <w:rsid w:val="001E1933"/>
    <w:rsid w:val="001F1461"/>
    <w:rsid w:val="001F31DC"/>
    <w:rsid w:val="00201609"/>
    <w:rsid w:val="00201E6D"/>
    <w:rsid w:val="00236D4F"/>
    <w:rsid w:val="002624D4"/>
    <w:rsid w:val="00296C8B"/>
    <w:rsid w:val="002D42F0"/>
    <w:rsid w:val="002D585F"/>
    <w:rsid w:val="0032319F"/>
    <w:rsid w:val="00327FBB"/>
    <w:rsid w:val="00333285"/>
    <w:rsid w:val="003444DA"/>
    <w:rsid w:val="00387002"/>
    <w:rsid w:val="003C1AA7"/>
    <w:rsid w:val="003E036C"/>
    <w:rsid w:val="003E0405"/>
    <w:rsid w:val="003F1122"/>
    <w:rsid w:val="00411FF5"/>
    <w:rsid w:val="00435498"/>
    <w:rsid w:val="004464CA"/>
    <w:rsid w:val="004A7766"/>
    <w:rsid w:val="004C5BE6"/>
    <w:rsid w:val="004D238D"/>
    <w:rsid w:val="004F5A08"/>
    <w:rsid w:val="00503433"/>
    <w:rsid w:val="005142E9"/>
    <w:rsid w:val="00527841"/>
    <w:rsid w:val="00533253"/>
    <w:rsid w:val="00536F9A"/>
    <w:rsid w:val="0053773B"/>
    <w:rsid w:val="00564729"/>
    <w:rsid w:val="00585B81"/>
    <w:rsid w:val="005911DE"/>
    <w:rsid w:val="0059444A"/>
    <w:rsid w:val="0059476C"/>
    <w:rsid w:val="005A08EA"/>
    <w:rsid w:val="005C64C8"/>
    <w:rsid w:val="005C7A39"/>
    <w:rsid w:val="0060196C"/>
    <w:rsid w:val="006023D3"/>
    <w:rsid w:val="006116C4"/>
    <w:rsid w:val="00611F49"/>
    <w:rsid w:val="00616826"/>
    <w:rsid w:val="00645563"/>
    <w:rsid w:val="00656D90"/>
    <w:rsid w:val="00656DB5"/>
    <w:rsid w:val="00663A1B"/>
    <w:rsid w:val="00666BE1"/>
    <w:rsid w:val="006715BA"/>
    <w:rsid w:val="006B5F1B"/>
    <w:rsid w:val="006C40E4"/>
    <w:rsid w:val="006D29BE"/>
    <w:rsid w:val="006E1AC2"/>
    <w:rsid w:val="006F4039"/>
    <w:rsid w:val="007032BF"/>
    <w:rsid w:val="00726D98"/>
    <w:rsid w:val="00733E91"/>
    <w:rsid w:val="00743DD5"/>
    <w:rsid w:val="007469E8"/>
    <w:rsid w:val="00757E8A"/>
    <w:rsid w:val="00761CA8"/>
    <w:rsid w:val="0078295F"/>
    <w:rsid w:val="007D21B6"/>
    <w:rsid w:val="007D7879"/>
    <w:rsid w:val="007F1DB3"/>
    <w:rsid w:val="007F552C"/>
    <w:rsid w:val="00805CCE"/>
    <w:rsid w:val="008159EB"/>
    <w:rsid w:val="00837853"/>
    <w:rsid w:val="008379FE"/>
    <w:rsid w:val="00842E7F"/>
    <w:rsid w:val="008473E4"/>
    <w:rsid w:val="0085084F"/>
    <w:rsid w:val="008514C4"/>
    <w:rsid w:val="0085240F"/>
    <w:rsid w:val="00861310"/>
    <w:rsid w:val="0087073D"/>
    <w:rsid w:val="00882DCD"/>
    <w:rsid w:val="008A4184"/>
    <w:rsid w:val="008A5790"/>
    <w:rsid w:val="008C5648"/>
    <w:rsid w:val="008D6453"/>
    <w:rsid w:val="008D66E5"/>
    <w:rsid w:val="008F5D2D"/>
    <w:rsid w:val="008F69AD"/>
    <w:rsid w:val="009067A7"/>
    <w:rsid w:val="00916B94"/>
    <w:rsid w:val="009333D6"/>
    <w:rsid w:val="00945334"/>
    <w:rsid w:val="00953743"/>
    <w:rsid w:val="00962D4D"/>
    <w:rsid w:val="00964CBA"/>
    <w:rsid w:val="00980A69"/>
    <w:rsid w:val="009974C2"/>
    <w:rsid w:val="009A5C06"/>
    <w:rsid w:val="009C6F6B"/>
    <w:rsid w:val="009D5135"/>
    <w:rsid w:val="009E01F0"/>
    <w:rsid w:val="009E6118"/>
    <w:rsid w:val="009E7E76"/>
    <w:rsid w:val="00A15AEA"/>
    <w:rsid w:val="00A16C3C"/>
    <w:rsid w:val="00A3280B"/>
    <w:rsid w:val="00A32BAC"/>
    <w:rsid w:val="00A4193D"/>
    <w:rsid w:val="00A505BD"/>
    <w:rsid w:val="00A52770"/>
    <w:rsid w:val="00A719A1"/>
    <w:rsid w:val="00A93EBD"/>
    <w:rsid w:val="00A9421B"/>
    <w:rsid w:val="00A94890"/>
    <w:rsid w:val="00AA5EA9"/>
    <w:rsid w:val="00AC6720"/>
    <w:rsid w:val="00AC7EDD"/>
    <w:rsid w:val="00AF0E82"/>
    <w:rsid w:val="00AF54F9"/>
    <w:rsid w:val="00B01F06"/>
    <w:rsid w:val="00B04E3F"/>
    <w:rsid w:val="00B06ECC"/>
    <w:rsid w:val="00B1798D"/>
    <w:rsid w:val="00B34216"/>
    <w:rsid w:val="00B5042F"/>
    <w:rsid w:val="00B5754F"/>
    <w:rsid w:val="00BB461E"/>
    <w:rsid w:val="00BB6EDB"/>
    <w:rsid w:val="00BF4F7C"/>
    <w:rsid w:val="00C0050A"/>
    <w:rsid w:val="00C13D28"/>
    <w:rsid w:val="00C56D03"/>
    <w:rsid w:val="00C80A0E"/>
    <w:rsid w:val="00C91D3E"/>
    <w:rsid w:val="00C959F3"/>
    <w:rsid w:val="00CC0BDD"/>
    <w:rsid w:val="00CC1AF6"/>
    <w:rsid w:val="00CE5B20"/>
    <w:rsid w:val="00D03A48"/>
    <w:rsid w:val="00D54D1A"/>
    <w:rsid w:val="00D6114A"/>
    <w:rsid w:val="00D622D6"/>
    <w:rsid w:val="00D92C1E"/>
    <w:rsid w:val="00DB0A07"/>
    <w:rsid w:val="00DE123F"/>
    <w:rsid w:val="00E07B5B"/>
    <w:rsid w:val="00E50DCA"/>
    <w:rsid w:val="00E77140"/>
    <w:rsid w:val="00ED2C9B"/>
    <w:rsid w:val="00ED512B"/>
    <w:rsid w:val="00EF7BEF"/>
    <w:rsid w:val="00F108AF"/>
    <w:rsid w:val="00F47524"/>
    <w:rsid w:val="00F81C89"/>
    <w:rsid w:val="00F93E2D"/>
    <w:rsid w:val="00F9794B"/>
    <w:rsid w:val="00FC7058"/>
    <w:rsid w:val="00FD6B45"/>
    <w:rsid w:val="00FE65DE"/>
    <w:rsid w:val="00FF751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AEEE655"/>
  <w15:docId w15:val="{63FAC1F2-7280-4D2A-ADC3-51994C78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96F"/>
    <w:rPr>
      <w:sz w:val="24"/>
      <w:szCs w:val="24"/>
      <w:lang w:eastAsia="en-US"/>
    </w:rPr>
  </w:style>
  <w:style w:type="paragraph" w:styleId="Heading1">
    <w:name w:val="heading 1"/>
    <w:basedOn w:val="Normal"/>
    <w:next w:val="Normal"/>
    <w:qFormat/>
    <w:rsid w:val="001B696F"/>
    <w:pPr>
      <w:keepNext/>
      <w:outlineLvl w:val="0"/>
    </w:pPr>
    <w:rPr>
      <w:rFonts w:ascii="Arial" w:eastAsia="Times" w:hAnsi="Arial"/>
      <w:b/>
      <w:szCs w:val="20"/>
    </w:rPr>
  </w:style>
  <w:style w:type="paragraph" w:styleId="Heading2">
    <w:name w:val="heading 2"/>
    <w:basedOn w:val="Normal"/>
    <w:next w:val="Normal"/>
    <w:qFormat/>
    <w:rsid w:val="001B696F"/>
    <w:pPr>
      <w:keepNext/>
      <w:outlineLvl w:val="1"/>
    </w:pPr>
    <w:rPr>
      <w:rFonts w:ascii="Garamond" w:eastAsia="Times" w:hAnsi="Garamond"/>
      <w:sz w:val="28"/>
      <w:szCs w:val="20"/>
    </w:rPr>
  </w:style>
  <w:style w:type="paragraph" w:styleId="Heading4">
    <w:name w:val="heading 4"/>
    <w:basedOn w:val="Normal"/>
    <w:next w:val="Normal"/>
    <w:qFormat/>
    <w:rsid w:val="001B696F"/>
    <w:pPr>
      <w:keepNext/>
      <w:outlineLvl w:val="3"/>
    </w:pPr>
    <w:rPr>
      <w:rFonts w:ascii="Arial" w:eastAsia="Times" w:hAnsi="Arial"/>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696F"/>
    <w:pPr>
      <w:tabs>
        <w:tab w:val="center" w:pos="4320"/>
        <w:tab w:val="right" w:pos="8640"/>
      </w:tabs>
    </w:pPr>
    <w:rPr>
      <w:rFonts w:ascii="Times" w:eastAsia="Times" w:hAnsi="Times"/>
      <w:szCs w:val="20"/>
    </w:rPr>
  </w:style>
  <w:style w:type="paragraph" w:styleId="Footer">
    <w:name w:val="footer"/>
    <w:basedOn w:val="Normal"/>
    <w:link w:val="FooterChar"/>
    <w:rsid w:val="001B696F"/>
    <w:pPr>
      <w:tabs>
        <w:tab w:val="center" w:pos="4320"/>
        <w:tab w:val="right" w:pos="8640"/>
      </w:tabs>
    </w:pPr>
    <w:rPr>
      <w:rFonts w:ascii="Arial" w:eastAsia="Times" w:hAnsi="Arial"/>
      <w:sz w:val="20"/>
      <w:szCs w:val="20"/>
    </w:rPr>
  </w:style>
  <w:style w:type="character" w:styleId="PageNumber">
    <w:name w:val="page number"/>
    <w:basedOn w:val="DefaultParagraphFont"/>
    <w:rsid w:val="001B696F"/>
  </w:style>
  <w:style w:type="paragraph" w:customStyle="1" w:styleId="nhstopaddress">
    <w:name w:val="nhs_topaddress"/>
    <w:basedOn w:val="Normal"/>
    <w:rsid w:val="001B696F"/>
    <w:pPr>
      <w:tabs>
        <w:tab w:val="left" w:pos="993"/>
      </w:tabs>
    </w:pPr>
    <w:rPr>
      <w:kern w:val="16"/>
      <w:sz w:val="18"/>
      <w:szCs w:val="20"/>
    </w:rPr>
  </w:style>
  <w:style w:type="character" w:styleId="FollowedHyperlink">
    <w:name w:val="FollowedHyperlink"/>
    <w:basedOn w:val="DefaultParagraphFont"/>
    <w:rsid w:val="001E1933"/>
    <w:rPr>
      <w:color w:val="606420"/>
      <w:u w:val="single"/>
    </w:rPr>
  </w:style>
  <w:style w:type="paragraph" w:styleId="BalloonText">
    <w:name w:val="Balloon Text"/>
    <w:basedOn w:val="Normal"/>
    <w:semiHidden/>
    <w:rsid w:val="002624D4"/>
    <w:rPr>
      <w:rFonts w:ascii="Tahoma" w:hAnsi="Tahoma" w:cs="Tahoma"/>
      <w:sz w:val="16"/>
      <w:szCs w:val="16"/>
    </w:rPr>
  </w:style>
  <w:style w:type="character" w:customStyle="1" w:styleId="FooterChar">
    <w:name w:val="Footer Char"/>
    <w:basedOn w:val="DefaultParagraphFont"/>
    <w:link w:val="Footer"/>
    <w:rsid w:val="00A93EBD"/>
    <w:rPr>
      <w:rFonts w:ascii="Arial" w:eastAsia="Times" w:hAnsi="Arial"/>
      <w:lang w:eastAsia="en-US"/>
    </w:rPr>
  </w:style>
  <w:style w:type="paragraph" w:customStyle="1" w:styleId="CM9">
    <w:name w:val="CM9"/>
    <w:basedOn w:val="Normal"/>
    <w:next w:val="Normal"/>
    <w:rsid w:val="00FF751C"/>
    <w:pPr>
      <w:widowControl w:val="0"/>
      <w:autoSpaceDE w:val="0"/>
      <w:autoSpaceDN w:val="0"/>
      <w:adjustRightInd w:val="0"/>
    </w:pPr>
    <w:rPr>
      <w:rFonts w:ascii="RVVXOX+Arial-BoldMT" w:hAnsi="RVVXOX+Arial-BoldMT"/>
      <w:lang w:eastAsia="en-GB"/>
    </w:rPr>
  </w:style>
  <w:style w:type="paragraph" w:customStyle="1" w:styleId="CM1">
    <w:name w:val="CM1"/>
    <w:basedOn w:val="Normal"/>
    <w:next w:val="Normal"/>
    <w:rsid w:val="00FF751C"/>
    <w:pPr>
      <w:widowControl w:val="0"/>
      <w:autoSpaceDE w:val="0"/>
      <w:autoSpaceDN w:val="0"/>
      <w:adjustRightInd w:val="0"/>
      <w:spacing w:line="253" w:lineRule="atLeast"/>
    </w:pPr>
    <w:rPr>
      <w:rFonts w:ascii="RVVXOX+Arial-BoldMT" w:hAnsi="RVVXOX+Arial-BoldMT"/>
      <w:lang w:eastAsia="en-GB"/>
    </w:rPr>
  </w:style>
  <w:style w:type="paragraph" w:customStyle="1" w:styleId="CM10">
    <w:name w:val="CM10"/>
    <w:basedOn w:val="Normal"/>
    <w:next w:val="Normal"/>
    <w:rsid w:val="00FF751C"/>
    <w:pPr>
      <w:widowControl w:val="0"/>
      <w:autoSpaceDE w:val="0"/>
      <w:autoSpaceDN w:val="0"/>
      <w:adjustRightInd w:val="0"/>
    </w:pPr>
    <w:rPr>
      <w:rFonts w:ascii="RVVXOX+Arial-BoldMT" w:hAnsi="RVVXOX+Arial-BoldMT"/>
      <w:lang w:eastAsia="en-GB"/>
    </w:rPr>
  </w:style>
  <w:style w:type="paragraph" w:customStyle="1" w:styleId="Default">
    <w:name w:val="Default"/>
    <w:rsid w:val="00FF751C"/>
    <w:pPr>
      <w:widowControl w:val="0"/>
      <w:autoSpaceDE w:val="0"/>
      <w:autoSpaceDN w:val="0"/>
      <w:adjustRightInd w:val="0"/>
    </w:pPr>
    <w:rPr>
      <w:rFonts w:ascii="RVVXOX+Arial-BoldMT" w:hAnsi="RVVXOX+Arial-BoldMT" w:cs="RVVXOX+Arial-BoldMT"/>
      <w:color w:val="000000"/>
      <w:sz w:val="24"/>
      <w:szCs w:val="24"/>
    </w:rPr>
  </w:style>
  <w:style w:type="paragraph" w:customStyle="1" w:styleId="CM3">
    <w:name w:val="CM3"/>
    <w:basedOn w:val="Normal"/>
    <w:next w:val="Normal"/>
    <w:rsid w:val="00FF751C"/>
    <w:pPr>
      <w:widowControl w:val="0"/>
      <w:autoSpaceDE w:val="0"/>
      <w:autoSpaceDN w:val="0"/>
      <w:adjustRightInd w:val="0"/>
    </w:pPr>
    <w:rPr>
      <w:rFonts w:ascii="RVVXOX+Arial-BoldMT" w:hAnsi="RVVXOX+Arial-BoldMT"/>
      <w:lang w:eastAsia="en-GB"/>
    </w:rPr>
  </w:style>
  <w:style w:type="paragraph" w:customStyle="1" w:styleId="CM2">
    <w:name w:val="CM2"/>
    <w:basedOn w:val="Normal"/>
    <w:next w:val="Normal"/>
    <w:rsid w:val="00FF751C"/>
    <w:pPr>
      <w:widowControl w:val="0"/>
      <w:autoSpaceDE w:val="0"/>
      <w:autoSpaceDN w:val="0"/>
      <w:adjustRightInd w:val="0"/>
      <w:spacing w:line="253" w:lineRule="atLeast"/>
    </w:pPr>
    <w:rPr>
      <w:rFonts w:ascii="RVVXOX+Arial-BoldMT" w:hAnsi="RVVXOX+Arial-BoldMT"/>
      <w:lang w:eastAsia="en-GB"/>
    </w:rPr>
  </w:style>
  <w:style w:type="paragraph" w:customStyle="1" w:styleId="CM6">
    <w:name w:val="CM6"/>
    <w:basedOn w:val="Normal"/>
    <w:next w:val="Normal"/>
    <w:rsid w:val="00FF751C"/>
    <w:pPr>
      <w:widowControl w:val="0"/>
      <w:autoSpaceDE w:val="0"/>
      <w:autoSpaceDN w:val="0"/>
      <w:adjustRightInd w:val="0"/>
      <w:spacing w:line="253" w:lineRule="atLeast"/>
    </w:pPr>
    <w:rPr>
      <w:rFonts w:ascii="RVVXOX+Arial-BoldMT" w:hAnsi="RVVXOX+Arial-BoldMT"/>
      <w:lang w:eastAsia="en-GB"/>
    </w:rPr>
  </w:style>
  <w:style w:type="character" w:styleId="Hyperlink">
    <w:name w:val="Hyperlink"/>
    <w:basedOn w:val="DefaultParagraphFont"/>
    <w:rsid w:val="00AC7EDD"/>
    <w:rPr>
      <w:color w:val="0000FF" w:themeColor="hyperlink"/>
      <w:u w:val="single"/>
    </w:rPr>
  </w:style>
  <w:style w:type="table" w:styleId="TableGrid">
    <w:name w:val="Table Grid"/>
    <w:basedOn w:val="TableNormal"/>
    <w:rsid w:val="00387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7002"/>
    <w:pPr>
      <w:ind w:left="720"/>
      <w:contextualSpacing/>
    </w:pPr>
  </w:style>
  <w:style w:type="character" w:styleId="Strong">
    <w:name w:val="Strong"/>
    <w:basedOn w:val="DefaultParagraphFont"/>
    <w:uiPriority w:val="22"/>
    <w:qFormat/>
    <w:rsid w:val="008514C4"/>
    <w:rPr>
      <w:b/>
      <w:bCs/>
    </w:rPr>
  </w:style>
  <w:style w:type="paragraph" w:styleId="Revision">
    <w:name w:val="Revision"/>
    <w:hidden/>
    <w:uiPriority w:val="99"/>
    <w:semiHidden/>
    <w:rsid w:val="008159E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055345">
      <w:bodyDiv w:val="1"/>
      <w:marLeft w:val="0"/>
      <w:marRight w:val="0"/>
      <w:marTop w:val="0"/>
      <w:marBottom w:val="0"/>
      <w:divBdr>
        <w:top w:val="none" w:sz="0" w:space="0" w:color="auto"/>
        <w:left w:val="none" w:sz="0" w:space="0" w:color="auto"/>
        <w:bottom w:val="none" w:sz="0" w:space="0" w:color="auto"/>
        <w:right w:val="none" w:sz="0" w:space="0" w:color="auto"/>
      </w:divBdr>
    </w:div>
    <w:div w:id="177624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rley.thomson\Application%20Data\Microsoft\Templates\Proto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Protocol.dot</Template>
  <TotalTime>2</TotalTime>
  <Pages>2</Pages>
  <Words>916</Words>
  <Characters>4772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Counselling FAQs &amp; Information V17</vt:lpstr>
    </vt:vector>
  </TitlesOfParts>
  <Company>EFREC</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Counselling FAQs &amp; Information V17</dc:title>
  <dc:creator>R.Phillips</dc:creator>
  <cp:lastModifiedBy>Wales, Dave</cp:lastModifiedBy>
  <cp:revision>2</cp:revision>
  <cp:lastPrinted>2022-01-11T08:46:00Z</cp:lastPrinted>
  <dcterms:created xsi:type="dcterms:W3CDTF">2023-04-14T08:07:00Z</dcterms:created>
  <dcterms:modified xsi:type="dcterms:W3CDTF">2023-04-14T08:07:00Z</dcterms:modified>
</cp:coreProperties>
</file>